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E3" w:rsidRPr="006F6BE3" w:rsidRDefault="00BA163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Content of Training Programmes</w:t>
      </w:r>
    </w:p>
    <w:p w:rsidR="006F6BE3" w:rsidRDefault="006F6BE3" w:rsidP="006F6BE3">
      <w:pPr>
        <w:jc w:val="both"/>
      </w:pPr>
    </w:p>
    <w:p w:rsidR="00F9749C" w:rsidRDefault="00BA1638" w:rsidP="00BA1638">
      <w:pPr>
        <w:jc w:val="both"/>
        <w:rPr>
          <w:sz w:val="24"/>
          <w:szCs w:val="24"/>
        </w:rPr>
      </w:pPr>
      <w:r>
        <w:rPr>
          <w:sz w:val="24"/>
          <w:szCs w:val="24"/>
        </w:rPr>
        <w:t>Training providers seeking approval from the College of Mediators or the Civil Mediation Council will need to demonstrate that their training pro</w:t>
      </w:r>
      <w:r w:rsidR="00BC60EA">
        <w:rPr>
          <w:sz w:val="24"/>
          <w:szCs w:val="24"/>
        </w:rPr>
        <w:t>grammes incorporate the</w:t>
      </w:r>
      <w:r w:rsidR="00800A69">
        <w:rPr>
          <w:sz w:val="24"/>
          <w:szCs w:val="24"/>
        </w:rPr>
        <w:t xml:space="preserve"> following</w:t>
      </w:r>
      <w:r w:rsidR="00BC60EA">
        <w:rPr>
          <w:sz w:val="24"/>
          <w:szCs w:val="24"/>
        </w:rPr>
        <w:t xml:space="preserve"> content.</w:t>
      </w:r>
    </w:p>
    <w:p w:rsidR="00BC60EA" w:rsidRDefault="00BC60EA" w:rsidP="00BA1638">
      <w:pPr>
        <w:jc w:val="both"/>
        <w:rPr>
          <w:sz w:val="24"/>
          <w:szCs w:val="24"/>
        </w:rPr>
      </w:pPr>
      <w:r>
        <w:rPr>
          <w:sz w:val="24"/>
          <w:szCs w:val="24"/>
        </w:rPr>
        <w:t>The training should consist of four distinct modules:</w:t>
      </w:r>
      <w:bookmarkStart w:id="0" w:name="_GoBack"/>
      <w:bookmarkEnd w:id="0"/>
    </w:p>
    <w:p w:rsidR="00BC60EA" w:rsidRDefault="00BC60EA" w:rsidP="00BC60E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Legislat</w:t>
      </w:r>
      <w:r w:rsidR="00800A69">
        <w:rPr>
          <w:sz w:val="24"/>
          <w:szCs w:val="24"/>
        </w:rPr>
        <w:t>i</w:t>
      </w:r>
      <w:r>
        <w:rPr>
          <w:sz w:val="24"/>
          <w:szCs w:val="24"/>
        </w:rPr>
        <w:t>ve Framework</w:t>
      </w:r>
    </w:p>
    <w:p w:rsidR="00BC60EA" w:rsidRDefault="00800A69" w:rsidP="00BC60E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Contextual Knowledge of SEND </w:t>
      </w:r>
    </w:p>
    <w:p w:rsidR="00800A69" w:rsidRDefault="00800A69" w:rsidP="00BC60E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Mediation practice and the conduct of cases</w:t>
      </w:r>
    </w:p>
    <w:p w:rsidR="00800A69" w:rsidRDefault="00800A69" w:rsidP="00BC60E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 processes and procedures</w:t>
      </w:r>
    </w:p>
    <w:p w:rsidR="00DC6CE2" w:rsidRDefault="00800A69" w:rsidP="00DC6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of these modules should cover </w:t>
      </w:r>
      <w:r w:rsidR="00DC6CE2">
        <w:rPr>
          <w:sz w:val="24"/>
          <w:szCs w:val="24"/>
        </w:rPr>
        <w:t>the content outlined below, though some aspects will be covered in greater or lesser detail</w:t>
      </w:r>
      <w:r>
        <w:rPr>
          <w:sz w:val="24"/>
          <w:szCs w:val="24"/>
        </w:rPr>
        <w:t xml:space="preserve"> </w:t>
      </w:r>
      <w:r w:rsidR="00DC6CE2">
        <w:rPr>
          <w:sz w:val="24"/>
          <w:szCs w:val="24"/>
        </w:rPr>
        <w:t xml:space="preserve">according to the prior experience of the participants. It is therefore left </w:t>
      </w:r>
      <w:r w:rsidR="00DC6CE2" w:rsidRPr="00DC6CE2">
        <w:rPr>
          <w:sz w:val="24"/>
          <w:szCs w:val="24"/>
        </w:rPr>
        <w:t xml:space="preserve">to the discretion of the training provider to decide the extent and depth </w:t>
      </w:r>
      <w:r w:rsidR="00DC6CE2">
        <w:rPr>
          <w:sz w:val="24"/>
          <w:szCs w:val="24"/>
        </w:rPr>
        <w:t>to which different topics are covered.</w:t>
      </w:r>
    </w:p>
    <w:p w:rsidR="00DC6CE2" w:rsidRPr="00DC6CE2" w:rsidRDefault="00DC6CE2" w:rsidP="00DC6CE2">
      <w:pPr>
        <w:jc w:val="both"/>
        <w:rPr>
          <w:sz w:val="24"/>
          <w:szCs w:val="24"/>
        </w:rPr>
      </w:pPr>
      <w:r>
        <w:rPr>
          <w:sz w:val="24"/>
          <w:szCs w:val="24"/>
        </w:rPr>
        <w:t>Each module should incorporate opportunity for participants to reflect on their learning, identify the impact of new learning and consider future training needs.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00A69" w:rsidTr="00581C9C">
        <w:tc>
          <w:tcPr>
            <w:tcW w:w="9498" w:type="dxa"/>
          </w:tcPr>
          <w:p w:rsidR="00800A69" w:rsidRPr="00581C9C" w:rsidRDefault="00800A69" w:rsidP="00581C9C">
            <w:pPr>
              <w:spacing w:before="120" w:after="120"/>
              <w:rPr>
                <w:b/>
                <w:color w:val="4472C4" w:themeColor="accent1"/>
                <w:spacing w:val="14"/>
                <w:sz w:val="28"/>
                <w:szCs w:val="28"/>
                <w:lang w:eastAsia="en-GB"/>
              </w:rPr>
            </w:pP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>Module 1: Legislative Framework</w:t>
            </w:r>
          </w:p>
        </w:tc>
      </w:tr>
      <w:tr w:rsidR="00800A69" w:rsidTr="00581C9C">
        <w:tc>
          <w:tcPr>
            <w:tcW w:w="9498" w:type="dxa"/>
          </w:tcPr>
          <w:p w:rsidR="00800A69" w:rsidRDefault="00800A69" w:rsidP="00581C9C">
            <w:pPr>
              <w:spacing w:before="120" w:after="120"/>
              <w:rPr>
                <w:b/>
              </w:rPr>
            </w:pPr>
            <w:r w:rsidRPr="003504F8">
              <w:rPr>
                <w:b/>
              </w:rPr>
              <w:t>Module 1 should signpost the learner to the following pieces of legislation, highlighting as appropriate how they could be applied to different contexts:</w:t>
            </w:r>
          </w:p>
          <w:p w:rsidR="0043191F" w:rsidRPr="0043191F" w:rsidRDefault="0043191F" w:rsidP="0043191F">
            <w:pPr>
              <w:spacing w:before="120" w:after="120"/>
              <w:rPr>
                <w:u w:val="single"/>
              </w:rPr>
            </w:pPr>
            <w:r w:rsidRPr="0043191F">
              <w:rPr>
                <w:u w:val="single"/>
              </w:rPr>
              <w:t>Primary Legislation</w:t>
            </w:r>
          </w:p>
          <w:p w:rsidR="00800A69" w:rsidRPr="003504F8" w:rsidRDefault="00800A69" w:rsidP="00DC6CE2">
            <w:pPr>
              <w:pStyle w:val="Bullet1"/>
              <w:numPr>
                <w:ilvl w:val="0"/>
                <w:numId w:val="14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Children and Families Act 2014</w:t>
            </w:r>
          </w:p>
          <w:p w:rsidR="00800A69" w:rsidRPr="003504F8" w:rsidRDefault="00800A69" w:rsidP="00DC6CE2">
            <w:pPr>
              <w:pStyle w:val="Bullet1"/>
              <w:numPr>
                <w:ilvl w:val="0"/>
                <w:numId w:val="14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SEND Code of Practice 2015 and SEND Regulations 2014</w:t>
            </w:r>
          </w:p>
          <w:p w:rsidR="00800A69" w:rsidRPr="003504F8" w:rsidRDefault="00800A69" w:rsidP="00DC6CE2">
            <w:pPr>
              <w:pStyle w:val="Bullet1"/>
              <w:numPr>
                <w:ilvl w:val="0"/>
                <w:numId w:val="14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Mental Capacity Act 2005</w:t>
            </w:r>
          </w:p>
          <w:p w:rsidR="00DC6CE2" w:rsidRDefault="00DC6CE2" w:rsidP="00DC6CE2">
            <w:pPr>
              <w:pStyle w:val="Bullet1"/>
              <w:numPr>
                <w:ilvl w:val="0"/>
                <w:numId w:val="14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Safeguarding Legislation</w:t>
            </w:r>
          </w:p>
          <w:p w:rsidR="0043191F" w:rsidRDefault="0043191F" w:rsidP="0043191F">
            <w:pPr>
              <w:pStyle w:val="Bullet1"/>
              <w:numPr>
                <w:ilvl w:val="0"/>
                <w:numId w:val="0"/>
              </w:numPr>
              <w:spacing w:before="120" w:after="120"/>
              <w:contextualSpacing/>
              <w:rPr>
                <w:sz w:val="22"/>
                <w:szCs w:val="22"/>
              </w:rPr>
            </w:pPr>
          </w:p>
          <w:p w:rsidR="0043191F" w:rsidRPr="0043191F" w:rsidRDefault="0043191F" w:rsidP="0043191F">
            <w:pPr>
              <w:pStyle w:val="Bullet1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  <w:u w:val="single"/>
              </w:rPr>
            </w:pPr>
            <w:r w:rsidRPr="0043191F">
              <w:rPr>
                <w:sz w:val="22"/>
                <w:szCs w:val="22"/>
                <w:u w:val="single"/>
              </w:rPr>
              <w:t>Supplementary Legislation</w:t>
            </w:r>
          </w:p>
          <w:p w:rsidR="00DC6CE2" w:rsidRPr="003504F8" w:rsidRDefault="00DC6CE2" w:rsidP="00DC6CE2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Children Act 1989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Equality Act 2010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Care Act 2014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Education Act 1996 and Code of Practice 2001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Mental Health Act 1983, 2007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Chronically sick and Disabled Persons Act 1974</w:t>
            </w:r>
          </w:p>
          <w:p w:rsidR="00800A69" w:rsidRPr="003504F8" w:rsidRDefault="00800A69" w:rsidP="00581C9C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Human Rights Act 1988</w:t>
            </w:r>
          </w:p>
          <w:p w:rsidR="0043191F" w:rsidRDefault="00800A69" w:rsidP="0043191F">
            <w:pPr>
              <w:pStyle w:val="Bullet1"/>
              <w:spacing w:before="120" w:after="120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Working Together 2013</w:t>
            </w:r>
          </w:p>
          <w:p w:rsidR="0043191F" w:rsidRPr="0043191F" w:rsidRDefault="0043191F" w:rsidP="0043191F">
            <w:pPr>
              <w:pStyle w:val="Bullet1"/>
              <w:numPr>
                <w:ilvl w:val="0"/>
                <w:numId w:val="17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Self-r</w:t>
            </w:r>
            <w:r w:rsidRPr="0043191F">
              <w:rPr>
                <w:sz w:val="22"/>
                <w:szCs w:val="22"/>
              </w:rPr>
              <w:t>eflection and implications</w:t>
            </w:r>
            <w:r>
              <w:rPr>
                <w:sz w:val="22"/>
                <w:szCs w:val="22"/>
              </w:rPr>
              <w:t xml:space="preserve"> for personal development</w:t>
            </w:r>
          </w:p>
          <w:p w:rsidR="00800A69" w:rsidRDefault="0043191F" w:rsidP="00581C9C">
            <w:pPr>
              <w:spacing w:before="120" w:after="120"/>
              <w:rPr>
                <w:lang w:eastAsia="en-GB"/>
              </w:rPr>
            </w:pPr>
            <w:r>
              <w:t>It is expected that t</w:t>
            </w:r>
            <w:r w:rsidR="00800A69" w:rsidRPr="003504F8">
              <w:t>h</w:t>
            </w:r>
            <w:r>
              <w:t xml:space="preserve">e primary legislation would be covered in some detail while secondary legislation might be referred to and signposted. </w:t>
            </w:r>
          </w:p>
        </w:tc>
      </w:tr>
    </w:tbl>
    <w:p w:rsidR="00800A69" w:rsidRDefault="00800A69" w:rsidP="00800A69">
      <w:pPr>
        <w:rPr>
          <w:lang w:eastAsia="en-GB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81C9C" w:rsidTr="003504F8">
        <w:tc>
          <w:tcPr>
            <w:tcW w:w="9498" w:type="dxa"/>
          </w:tcPr>
          <w:p w:rsidR="00581C9C" w:rsidRDefault="00581C9C" w:rsidP="0043191F">
            <w:pPr>
              <w:spacing w:before="40" w:after="40"/>
              <w:rPr>
                <w:lang w:eastAsia="en-GB"/>
              </w:rPr>
            </w:pP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lastRenderedPageBreak/>
              <w:t xml:space="preserve">Module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>2</w:t>
            </w: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: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Contextual Knowledge SEND </w:t>
            </w:r>
          </w:p>
        </w:tc>
      </w:tr>
      <w:tr w:rsidR="00581C9C" w:rsidTr="003504F8">
        <w:tc>
          <w:tcPr>
            <w:tcW w:w="9498" w:type="dxa"/>
          </w:tcPr>
          <w:p w:rsidR="00581C9C" w:rsidRPr="003504F8" w:rsidRDefault="00581C9C" w:rsidP="00581C9C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3504F8">
              <w:rPr>
                <w:b/>
              </w:rPr>
              <w:t xml:space="preserve">Module </w:t>
            </w:r>
            <w:r w:rsidR="003504F8" w:rsidRPr="003504F8">
              <w:rPr>
                <w:b/>
              </w:rPr>
              <w:t xml:space="preserve">2 </w:t>
            </w:r>
            <w:r w:rsidRPr="003504F8">
              <w:rPr>
                <w:b/>
              </w:rPr>
              <w:t xml:space="preserve">should cover the following topics 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 xml:space="preserve">Voice of the CYP 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Language/definitions associated with SEND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Understanding families and the processes by which SEND is identified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How SEND support is structured and provided – the graduated response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Role of professionals and who the CYP is likely to engage with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Types of SEND – general overview/awareness (signposting as can be explored in more detail as part of CPD process)</w:t>
            </w:r>
          </w:p>
          <w:p w:rsidR="00581C9C" w:rsidRPr="003504F8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Reasonable adjustments</w:t>
            </w:r>
          </w:p>
          <w:p w:rsidR="0043191F" w:rsidRPr="0043191F" w:rsidRDefault="00581C9C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3504F8">
              <w:rPr>
                <w:sz w:val="22"/>
                <w:szCs w:val="22"/>
              </w:rPr>
              <w:t>EHC plans</w:t>
            </w:r>
          </w:p>
          <w:p w:rsidR="0043191F" w:rsidRPr="0043191F" w:rsidRDefault="0043191F" w:rsidP="0043191F">
            <w:pPr>
              <w:pStyle w:val="Bullet1"/>
              <w:numPr>
                <w:ilvl w:val="0"/>
                <w:numId w:val="0"/>
              </w:numPr>
              <w:ind w:left="284"/>
              <w:contextualSpacing/>
              <w:rPr>
                <w:sz w:val="16"/>
                <w:szCs w:val="16"/>
              </w:rPr>
            </w:pPr>
          </w:p>
          <w:p w:rsidR="0043191F" w:rsidRPr="0043191F" w:rsidRDefault="0043191F" w:rsidP="0043191F">
            <w:pPr>
              <w:pStyle w:val="Bullet1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43191F">
              <w:rPr>
                <w:sz w:val="22"/>
                <w:szCs w:val="22"/>
              </w:rPr>
              <w:t>Self-reflection and implications for personal development</w:t>
            </w:r>
          </w:p>
        </w:tc>
      </w:tr>
    </w:tbl>
    <w:p w:rsidR="00800A69" w:rsidRPr="003504F8" w:rsidRDefault="00800A69" w:rsidP="00800A69">
      <w:pPr>
        <w:rPr>
          <w:sz w:val="16"/>
          <w:szCs w:val="16"/>
          <w:lang w:eastAsia="en-GB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81C9C" w:rsidTr="003504F8">
        <w:tc>
          <w:tcPr>
            <w:tcW w:w="9498" w:type="dxa"/>
          </w:tcPr>
          <w:p w:rsidR="00581C9C" w:rsidRDefault="00581C9C" w:rsidP="0043191F">
            <w:pPr>
              <w:spacing w:before="40" w:after="40"/>
              <w:rPr>
                <w:lang w:eastAsia="en-GB"/>
              </w:rPr>
            </w:pP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Module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>3</w:t>
            </w: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: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Mediation Practice and the Conduct of Cases </w:t>
            </w:r>
          </w:p>
        </w:tc>
      </w:tr>
      <w:tr w:rsidR="00581C9C" w:rsidTr="003504F8">
        <w:tc>
          <w:tcPr>
            <w:tcW w:w="9498" w:type="dxa"/>
          </w:tcPr>
          <w:p w:rsidR="00581C9C" w:rsidRPr="003504F8" w:rsidRDefault="00581C9C" w:rsidP="003504F8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3504F8">
              <w:rPr>
                <w:b/>
              </w:rPr>
              <w:t xml:space="preserve">Module </w:t>
            </w:r>
            <w:r w:rsidR="003504F8" w:rsidRPr="003504F8">
              <w:rPr>
                <w:b/>
              </w:rPr>
              <w:t xml:space="preserve">3 </w:t>
            </w:r>
            <w:r w:rsidRPr="003504F8">
              <w:rPr>
                <w:b/>
              </w:rPr>
              <w:t xml:space="preserve">should cover the following topics 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Preparing for mediation: facilitating information exchange and clarifying agendas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Working with children and young people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Children and young people participating in mediation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Voice of the child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Authority to settle issues in SEND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Managing multi party meetings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Power balancing in SEND mediation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Agreement writing in SEND context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Working with advocates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Child protection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Mental capacity</w:t>
            </w:r>
          </w:p>
          <w:p w:rsidR="00581C9C" w:rsidRPr="003504F8" w:rsidRDefault="00581C9C" w:rsidP="003504F8">
            <w:pPr>
              <w:pStyle w:val="Bullet1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 xml:space="preserve">Legal context: </w:t>
            </w:r>
          </w:p>
          <w:p w:rsidR="00581C9C" w:rsidRPr="003504F8" w:rsidRDefault="00581C9C" w:rsidP="003504F8">
            <w:pPr>
              <w:pStyle w:val="Bullet2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 xml:space="preserve">Duties of LA education and schools </w:t>
            </w:r>
          </w:p>
          <w:p w:rsidR="00581C9C" w:rsidRPr="003504F8" w:rsidRDefault="00581C9C" w:rsidP="003504F8">
            <w:pPr>
              <w:pStyle w:val="Bullet2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Duties on post 16 and FE</w:t>
            </w:r>
          </w:p>
          <w:p w:rsidR="00581C9C" w:rsidRPr="003504F8" w:rsidRDefault="00581C9C" w:rsidP="003504F8">
            <w:pPr>
              <w:pStyle w:val="Bullet2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Duties of health and social care providers</w:t>
            </w:r>
          </w:p>
          <w:p w:rsidR="00581C9C" w:rsidRPr="003504F8" w:rsidRDefault="00581C9C" w:rsidP="003504F8">
            <w:pPr>
              <w:pStyle w:val="Bullet2"/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SEND Tribunal</w:t>
            </w:r>
          </w:p>
          <w:p w:rsidR="00581C9C" w:rsidRDefault="00581C9C" w:rsidP="003504F8">
            <w:pPr>
              <w:pStyle w:val="Bullet1"/>
              <w:numPr>
                <w:ilvl w:val="0"/>
                <w:numId w:val="0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b/>
                <w:sz w:val="22"/>
                <w:szCs w:val="22"/>
              </w:rPr>
              <w:t xml:space="preserve">Case studies </w:t>
            </w:r>
            <w:r w:rsidR="00850CFB">
              <w:rPr>
                <w:sz w:val="22"/>
                <w:szCs w:val="22"/>
              </w:rPr>
              <w:t>should be used to provide</w:t>
            </w:r>
            <w:r w:rsidRPr="003504F8">
              <w:rPr>
                <w:sz w:val="22"/>
                <w:szCs w:val="22"/>
              </w:rPr>
              <w:t xml:space="preserve"> examples</w:t>
            </w:r>
            <w:r w:rsidR="00850CFB">
              <w:rPr>
                <w:sz w:val="22"/>
                <w:szCs w:val="22"/>
              </w:rPr>
              <w:t xml:space="preserve"> of key issues</w:t>
            </w:r>
            <w:r w:rsidRPr="003504F8">
              <w:rPr>
                <w:sz w:val="22"/>
                <w:szCs w:val="22"/>
              </w:rPr>
              <w:t xml:space="preserve"> that typically require mediation.</w:t>
            </w:r>
          </w:p>
          <w:p w:rsidR="00581C9C" w:rsidRPr="0043191F" w:rsidRDefault="0043191F" w:rsidP="0043191F">
            <w:pPr>
              <w:pStyle w:val="Bullet1"/>
              <w:numPr>
                <w:ilvl w:val="0"/>
                <w:numId w:val="17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Self-r</w:t>
            </w:r>
            <w:r w:rsidRPr="0043191F">
              <w:rPr>
                <w:sz w:val="22"/>
                <w:szCs w:val="22"/>
              </w:rPr>
              <w:t>eflection and implications</w:t>
            </w:r>
            <w:r>
              <w:rPr>
                <w:sz w:val="22"/>
                <w:szCs w:val="22"/>
              </w:rPr>
              <w:t xml:space="preserve"> for personal development</w:t>
            </w:r>
          </w:p>
        </w:tc>
      </w:tr>
    </w:tbl>
    <w:p w:rsidR="00800A69" w:rsidRPr="003504F8" w:rsidRDefault="00800A69" w:rsidP="00800A69">
      <w:pPr>
        <w:rPr>
          <w:sz w:val="16"/>
          <w:szCs w:val="16"/>
          <w:lang w:eastAsia="en-GB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504F8" w:rsidTr="003F3902">
        <w:tc>
          <w:tcPr>
            <w:tcW w:w="9498" w:type="dxa"/>
          </w:tcPr>
          <w:p w:rsidR="003504F8" w:rsidRDefault="003504F8" w:rsidP="0043191F">
            <w:pPr>
              <w:spacing w:before="40" w:after="40"/>
              <w:rPr>
                <w:lang w:eastAsia="en-GB"/>
              </w:rPr>
            </w:pP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Module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>4</w:t>
            </w:r>
            <w:r w:rsidRPr="00581C9C"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 xml:space="preserve">: </w:t>
            </w:r>
            <w:r>
              <w:rPr>
                <w:b/>
                <w:color w:val="2F5496" w:themeColor="accent1" w:themeShade="BF"/>
                <w:spacing w:val="14"/>
                <w:sz w:val="28"/>
                <w:szCs w:val="28"/>
                <w:lang w:eastAsia="en-GB"/>
              </w:rPr>
              <w:t>Contextual Knowledge SEND</w:t>
            </w:r>
          </w:p>
        </w:tc>
      </w:tr>
      <w:tr w:rsidR="003504F8" w:rsidTr="003F3902">
        <w:tc>
          <w:tcPr>
            <w:tcW w:w="9498" w:type="dxa"/>
          </w:tcPr>
          <w:p w:rsidR="003504F8" w:rsidRPr="003504F8" w:rsidRDefault="003504F8" w:rsidP="003504F8">
            <w:pPr>
              <w:pStyle w:val="Bullet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504F8">
              <w:rPr>
                <w:b/>
                <w:sz w:val="22"/>
                <w:szCs w:val="22"/>
              </w:rPr>
              <w:t>Module 4 should cover service specific processes and procedures as appropriate to the local context:</w:t>
            </w:r>
          </w:p>
          <w:p w:rsidR="003504F8" w:rsidRPr="003504F8" w:rsidRDefault="003504F8" w:rsidP="0043191F">
            <w:pPr>
              <w:pStyle w:val="Bullet1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3504F8">
              <w:rPr>
                <w:sz w:val="22"/>
                <w:szCs w:val="22"/>
              </w:rPr>
              <w:t>How the mediation provider works as an organisation</w:t>
            </w:r>
          </w:p>
          <w:p w:rsidR="003504F8" w:rsidRPr="003F3902" w:rsidRDefault="003504F8" w:rsidP="0043191F">
            <w:pPr>
              <w:pStyle w:val="Bullet1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3504F8">
              <w:rPr>
                <w:sz w:val="22"/>
                <w:szCs w:val="22"/>
              </w:rPr>
              <w:t>LA local processes and the Local Offer</w:t>
            </w:r>
          </w:p>
          <w:p w:rsidR="003F3902" w:rsidRPr="0043191F" w:rsidRDefault="0043191F" w:rsidP="0043191F">
            <w:pPr>
              <w:pStyle w:val="Bullet1"/>
              <w:numPr>
                <w:ilvl w:val="0"/>
                <w:numId w:val="13"/>
              </w:num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Self-r</w:t>
            </w:r>
            <w:r w:rsidRPr="0043191F">
              <w:rPr>
                <w:sz w:val="22"/>
                <w:szCs w:val="22"/>
              </w:rPr>
              <w:t>eflection and implications</w:t>
            </w:r>
            <w:r>
              <w:rPr>
                <w:sz w:val="22"/>
                <w:szCs w:val="22"/>
              </w:rPr>
              <w:t xml:space="preserve"> for personal development</w:t>
            </w:r>
          </w:p>
        </w:tc>
      </w:tr>
    </w:tbl>
    <w:p w:rsidR="00800A69" w:rsidRPr="005064A7" w:rsidRDefault="00800A69" w:rsidP="00850CFB"/>
    <w:sectPr w:rsidR="00800A69" w:rsidRPr="005064A7" w:rsidSect="001E594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33" w:rsidRDefault="000D4233" w:rsidP="00077AEC">
      <w:pPr>
        <w:spacing w:after="0" w:line="240" w:lineRule="auto"/>
      </w:pPr>
      <w:r>
        <w:separator/>
      </w:r>
    </w:p>
  </w:endnote>
  <w:endnote w:type="continuationSeparator" w:id="0">
    <w:p w:rsidR="000D4233" w:rsidRDefault="000D4233" w:rsidP="0007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33" w:rsidRDefault="000D4233" w:rsidP="00077AEC">
      <w:pPr>
        <w:spacing w:after="0" w:line="240" w:lineRule="auto"/>
      </w:pPr>
      <w:r>
        <w:separator/>
      </w:r>
    </w:p>
  </w:footnote>
  <w:footnote w:type="continuationSeparator" w:id="0">
    <w:p w:rsidR="000D4233" w:rsidRDefault="000D4233" w:rsidP="0007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EC" w:rsidRPr="00F35B21" w:rsidRDefault="00F35B21" w:rsidP="00F563CF">
    <w:pPr>
      <w:pStyle w:val="Header"/>
      <w:jc w:val="right"/>
      <w:rPr>
        <w:color w:val="808080" w:themeColor="background1" w:themeShade="80"/>
        <w:sz w:val="28"/>
        <w:szCs w:val="28"/>
      </w:rPr>
    </w:pPr>
    <w:r w:rsidRPr="00F35B21">
      <w:rPr>
        <w:color w:val="808080" w:themeColor="background1" w:themeShade="80"/>
        <w:sz w:val="28"/>
        <w:szCs w:val="28"/>
      </w:rPr>
      <w:t xml:space="preserve">Appendix </w:t>
    </w:r>
    <w:r w:rsidR="0062024E">
      <w:rPr>
        <w:color w:val="808080" w:themeColor="background1" w:themeShade="80"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592"/>
    <w:multiLevelType w:val="multilevel"/>
    <w:tmpl w:val="17DCC9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3864" w:themeColor="accent1" w:themeShade="8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B33C51"/>
    <w:multiLevelType w:val="hybridMultilevel"/>
    <w:tmpl w:val="835C01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A80"/>
    <w:multiLevelType w:val="multilevel"/>
    <w:tmpl w:val="51E08AF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7811C4"/>
    <w:multiLevelType w:val="hybridMultilevel"/>
    <w:tmpl w:val="B10A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7AD2"/>
    <w:multiLevelType w:val="hybridMultilevel"/>
    <w:tmpl w:val="CD0A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0B01"/>
    <w:multiLevelType w:val="hybridMultilevel"/>
    <w:tmpl w:val="94980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D0D"/>
    <w:multiLevelType w:val="hybridMultilevel"/>
    <w:tmpl w:val="20F81BD8"/>
    <w:lvl w:ilvl="0" w:tplc="6BDC5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7E90"/>
    <w:multiLevelType w:val="multilevel"/>
    <w:tmpl w:val="56B618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3864" w:themeColor="accent1" w:themeShade="8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6D7D65"/>
    <w:multiLevelType w:val="hybridMultilevel"/>
    <w:tmpl w:val="F6EA08F0"/>
    <w:lvl w:ilvl="0" w:tplc="F4B67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77E6"/>
    <w:multiLevelType w:val="multilevel"/>
    <w:tmpl w:val="E7B470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3864" w:themeColor="accent1" w:themeShade="8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FB34D5"/>
    <w:multiLevelType w:val="multilevel"/>
    <w:tmpl w:val="52A02272"/>
    <w:styleLink w:val="SecListStyle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935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162"/>
        </w:tabs>
        <w:ind w:left="0" w:firstLine="0"/>
      </w:pPr>
      <w:rPr>
        <w:rFonts w:ascii="Arial" w:hAnsi="Arial" w:cs="Arial" w:hint="default"/>
        <w:b w:val="0"/>
        <w:i w:val="0"/>
        <w:color w:val="4472C4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1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FCB6D7B"/>
    <w:multiLevelType w:val="hybridMultilevel"/>
    <w:tmpl w:val="C420A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402B"/>
    <w:multiLevelType w:val="hybridMultilevel"/>
    <w:tmpl w:val="856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05CF2"/>
    <w:multiLevelType w:val="hybridMultilevel"/>
    <w:tmpl w:val="DB8881D0"/>
    <w:lvl w:ilvl="0" w:tplc="659EE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5648C"/>
    <w:multiLevelType w:val="multilevel"/>
    <w:tmpl w:val="5888AE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3864" w:themeColor="accent1" w:themeShade="80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E"/>
    <w:rsid w:val="00000059"/>
    <w:rsid w:val="00037541"/>
    <w:rsid w:val="000435BD"/>
    <w:rsid w:val="00066CAC"/>
    <w:rsid w:val="00077AEC"/>
    <w:rsid w:val="00077C56"/>
    <w:rsid w:val="000A177D"/>
    <w:rsid w:val="000B105D"/>
    <w:rsid w:val="000D08D2"/>
    <w:rsid w:val="000D4233"/>
    <w:rsid w:val="001E5945"/>
    <w:rsid w:val="00272C47"/>
    <w:rsid w:val="00274040"/>
    <w:rsid w:val="002A18FE"/>
    <w:rsid w:val="003006EC"/>
    <w:rsid w:val="00310D80"/>
    <w:rsid w:val="003504F8"/>
    <w:rsid w:val="0037006F"/>
    <w:rsid w:val="003B657F"/>
    <w:rsid w:val="003F3902"/>
    <w:rsid w:val="00411548"/>
    <w:rsid w:val="0043191F"/>
    <w:rsid w:val="00437C68"/>
    <w:rsid w:val="004902F0"/>
    <w:rsid w:val="00503C15"/>
    <w:rsid w:val="00513FB3"/>
    <w:rsid w:val="00581C9C"/>
    <w:rsid w:val="005B19D7"/>
    <w:rsid w:val="005E01C2"/>
    <w:rsid w:val="005F7933"/>
    <w:rsid w:val="0062024E"/>
    <w:rsid w:val="00683FA5"/>
    <w:rsid w:val="006A0379"/>
    <w:rsid w:val="006E77DE"/>
    <w:rsid w:val="006F62D9"/>
    <w:rsid w:val="006F6BE3"/>
    <w:rsid w:val="007147BD"/>
    <w:rsid w:val="00800A69"/>
    <w:rsid w:val="00844B6A"/>
    <w:rsid w:val="00850CFB"/>
    <w:rsid w:val="00856E27"/>
    <w:rsid w:val="00891034"/>
    <w:rsid w:val="008A6CE8"/>
    <w:rsid w:val="008E0DA2"/>
    <w:rsid w:val="008E7B37"/>
    <w:rsid w:val="008F400C"/>
    <w:rsid w:val="008F5BB0"/>
    <w:rsid w:val="009A00CD"/>
    <w:rsid w:val="00A238FA"/>
    <w:rsid w:val="00A56F4E"/>
    <w:rsid w:val="00A6374D"/>
    <w:rsid w:val="00A64199"/>
    <w:rsid w:val="00AC72CE"/>
    <w:rsid w:val="00AD7A0B"/>
    <w:rsid w:val="00B43ED9"/>
    <w:rsid w:val="00B44634"/>
    <w:rsid w:val="00B6407F"/>
    <w:rsid w:val="00BA1638"/>
    <w:rsid w:val="00BC60EA"/>
    <w:rsid w:val="00BF6DA8"/>
    <w:rsid w:val="00C57B45"/>
    <w:rsid w:val="00C80800"/>
    <w:rsid w:val="00CB4D4D"/>
    <w:rsid w:val="00D22788"/>
    <w:rsid w:val="00D60E26"/>
    <w:rsid w:val="00DC6CE2"/>
    <w:rsid w:val="00E2632C"/>
    <w:rsid w:val="00EB41DE"/>
    <w:rsid w:val="00EE2E58"/>
    <w:rsid w:val="00F35B21"/>
    <w:rsid w:val="00F50DC2"/>
    <w:rsid w:val="00F563CF"/>
    <w:rsid w:val="00F701E4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EFD0D"/>
  <w15:chartTrackingRefBased/>
  <w15:docId w15:val="{125C8B6B-8579-4459-AE4F-2A0AD05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800A69"/>
    <w:pPr>
      <w:keepNext/>
      <w:pageBreakBefore/>
      <w:numPr>
        <w:numId w:val="11"/>
      </w:numPr>
      <w:spacing w:after="600" w:line="264" w:lineRule="auto"/>
      <w:outlineLvl w:val="0"/>
    </w:pPr>
    <w:rPr>
      <w:rFonts w:ascii="Arial" w:eastAsiaTheme="minorEastAsia" w:hAnsi="Arial" w:cs="Arial"/>
      <w:b/>
      <w:bCs/>
      <w:color w:val="000000" w:themeColor="text1"/>
      <w:sz w:val="40"/>
      <w:szCs w:val="40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qFormat/>
    <w:rsid w:val="00800A69"/>
    <w:pPr>
      <w:keepNext/>
      <w:numPr>
        <w:ilvl w:val="1"/>
        <w:numId w:val="11"/>
      </w:numPr>
      <w:tabs>
        <w:tab w:val="left" w:pos="652"/>
      </w:tabs>
      <w:spacing w:before="240" w:after="120" w:line="264" w:lineRule="auto"/>
      <w:outlineLvl w:val="1"/>
    </w:pPr>
    <w:rPr>
      <w:rFonts w:ascii="Arial" w:eastAsiaTheme="minorEastAsia" w:hAnsi="Arial" w:cs="Arial"/>
      <w:b/>
      <w:bCs/>
      <w:color w:val="4472C4" w:themeColor="accent1"/>
    </w:rPr>
  </w:style>
  <w:style w:type="paragraph" w:styleId="Heading3">
    <w:name w:val="heading 3"/>
    <w:aliases w:val="~MinorSubHeading"/>
    <w:basedOn w:val="Normal"/>
    <w:next w:val="Normal"/>
    <w:link w:val="Heading3Char"/>
    <w:uiPriority w:val="2"/>
    <w:qFormat/>
    <w:rsid w:val="00800A69"/>
    <w:pPr>
      <w:keepNext/>
      <w:numPr>
        <w:ilvl w:val="2"/>
        <w:numId w:val="11"/>
      </w:numPr>
      <w:tabs>
        <w:tab w:val="clear" w:pos="935"/>
        <w:tab w:val="left" w:pos="936"/>
      </w:tabs>
      <w:spacing w:before="240" w:after="120" w:line="264" w:lineRule="auto"/>
      <w:outlineLvl w:val="2"/>
    </w:pPr>
    <w:rPr>
      <w:rFonts w:ascii="Arial" w:eastAsiaTheme="minorEastAsia" w:hAnsi="Arial" w:cs="Arial"/>
      <w:b/>
      <w:bCs/>
      <w:color w:val="4472C4" w:themeColor="accent1"/>
      <w:sz w:val="20"/>
      <w:szCs w:val="20"/>
    </w:rPr>
  </w:style>
  <w:style w:type="paragraph" w:styleId="Heading4">
    <w:name w:val="heading 4"/>
    <w:aliases w:val="~Level4Heading"/>
    <w:basedOn w:val="Normal"/>
    <w:next w:val="Normal"/>
    <w:link w:val="Heading4Char"/>
    <w:uiPriority w:val="2"/>
    <w:qFormat/>
    <w:rsid w:val="00800A69"/>
    <w:pPr>
      <w:keepNext/>
      <w:numPr>
        <w:ilvl w:val="3"/>
        <w:numId w:val="11"/>
      </w:numPr>
      <w:tabs>
        <w:tab w:val="left" w:pos="1162"/>
      </w:tabs>
      <w:spacing w:before="240" w:after="0" w:line="264" w:lineRule="auto"/>
      <w:outlineLvl w:val="3"/>
    </w:pPr>
    <w:rPr>
      <w:rFonts w:ascii="Arial" w:eastAsiaTheme="minorEastAsia" w:hAnsi="Arial" w:cs="Arial"/>
      <w:color w:val="4472C4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C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2C4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2C47"/>
    <w:rPr>
      <w:color w:val="954F72" w:themeColor="followedHyperlink"/>
      <w:u w:val="single"/>
    </w:rPr>
  </w:style>
  <w:style w:type="table" w:styleId="TableGrid">
    <w:name w:val="Table Grid"/>
    <w:basedOn w:val="TableNormal"/>
    <w:rsid w:val="0050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AEC"/>
  </w:style>
  <w:style w:type="paragraph" w:styleId="Footer">
    <w:name w:val="footer"/>
    <w:basedOn w:val="Normal"/>
    <w:link w:val="FooterChar"/>
    <w:uiPriority w:val="99"/>
    <w:unhideWhenUsed/>
    <w:rsid w:val="0007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EC"/>
  </w:style>
  <w:style w:type="paragraph" w:styleId="BalloonText">
    <w:name w:val="Balloon Text"/>
    <w:basedOn w:val="Normal"/>
    <w:link w:val="BalloonTextChar"/>
    <w:uiPriority w:val="99"/>
    <w:semiHidden/>
    <w:unhideWhenUsed/>
    <w:rsid w:val="0084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800A69"/>
    <w:rPr>
      <w:rFonts w:ascii="Arial" w:eastAsiaTheme="minorEastAsia" w:hAnsi="Arial" w:cs="Arial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00A69"/>
    <w:rPr>
      <w:rFonts w:ascii="Arial" w:eastAsiaTheme="minorEastAsia" w:hAnsi="Arial" w:cs="Arial"/>
      <w:b/>
      <w:bCs/>
      <w:color w:val="4472C4" w:themeColor="accen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800A69"/>
    <w:rPr>
      <w:rFonts w:ascii="Arial" w:eastAsiaTheme="minorEastAsia" w:hAnsi="Arial" w:cs="Arial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800A69"/>
    <w:rPr>
      <w:rFonts w:ascii="Arial" w:eastAsiaTheme="minorEastAsia" w:hAnsi="Arial" w:cs="Arial"/>
      <w:color w:val="4472C4" w:themeColor="accent1"/>
      <w:sz w:val="20"/>
      <w:szCs w:val="20"/>
    </w:rPr>
  </w:style>
  <w:style w:type="paragraph" w:customStyle="1" w:styleId="Bullet1">
    <w:name w:val="~Bullet1"/>
    <w:basedOn w:val="Normal"/>
    <w:uiPriority w:val="1"/>
    <w:qFormat/>
    <w:rsid w:val="00800A69"/>
    <w:pPr>
      <w:numPr>
        <w:numId w:val="10"/>
      </w:numPr>
      <w:spacing w:before="60" w:after="60" w:line="264" w:lineRule="auto"/>
    </w:pPr>
    <w:rPr>
      <w:rFonts w:eastAsia="Calibri"/>
      <w:sz w:val="20"/>
      <w:szCs w:val="20"/>
    </w:rPr>
  </w:style>
  <w:style w:type="paragraph" w:customStyle="1" w:styleId="Bullet2">
    <w:name w:val="~Bullet2"/>
    <w:basedOn w:val="Normal"/>
    <w:uiPriority w:val="1"/>
    <w:qFormat/>
    <w:rsid w:val="00800A69"/>
    <w:pPr>
      <w:numPr>
        <w:ilvl w:val="1"/>
        <w:numId w:val="10"/>
      </w:numPr>
      <w:spacing w:before="60" w:after="60" w:line="264" w:lineRule="auto"/>
    </w:pPr>
    <w:rPr>
      <w:rFonts w:eastAsiaTheme="minorEastAsia"/>
      <w:sz w:val="20"/>
      <w:szCs w:val="20"/>
    </w:rPr>
  </w:style>
  <w:style w:type="paragraph" w:customStyle="1" w:styleId="Bullet3">
    <w:name w:val="~Bullet3"/>
    <w:basedOn w:val="Normal"/>
    <w:uiPriority w:val="1"/>
    <w:qFormat/>
    <w:rsid w:val="00800A69"/>
    <w:pPr>
      <w:numPr>
        <w:ilvl w:val="2"/>
        <w:numId w:val="10"/>
      </w:numPr>
      <w:spacing w:before="60" w:after="60" w:line="264" w:lineRule="auto"/>
    </w:pPr>
    <w:rPr>
      <w:rFonts w:eastAsiaTheme="minorEastAsia"/>
      <w:sz w:val="20"/>
      <w:szCs w:val="20"/>
    </w:rPr>
  </w:style>
  <w:style w:type="numbering" w:customStyle="1" w:styleId="SecListStyle">
    <w:name w:val="~SecListStyle"/>
    <w:uiPriority w:val="99"/>
    <w:rsid w:val="00800A6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Allport</dc:creator>
  <cp:keywords/>
  <dc:description/>
  <cp:lastModifiedBy>Wood, Mary C</cp:lastModifiedBy>
  <cp:revision>5</cp:revision>
  <cp:lastPrinted>2017-08-24T15:04:00Z</cp:lastPrinted>
  <dcterms:created xsi:type="dcterms:W3CDTF">2017-10-02T16:02:00Z</dcterms:created>
  <dcterms:modified xsi:type="dcterms:W3CDTF">2018-01-08T13:38:00Z</dcterms:modified>
</cp:coreProperties>
</file>