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17596C" w14:textId="4C6115C3" w:rsidR="002C5E93" w:rsidRDefault="00B17AF2" w:rsidP="00E80098">
      <w:pPr>
        <w:pStyle w:val="Title"/>
        <w:rPr>
          <w:sz w:val="48"/>
          <w:szCs w:val="48"/>
        </w:rPr>
      </w:pPr>
      <w:r w:rsidRPr="00E80098">
        <w:rPr>
          <w:sz w:val="48"/>
          <w:szCs w:val="48"/>
        </w:rPr>
        <w:t>SEND Tribunal</w:t>
      </w:r>
      <w:r w:rsidR="00411AD4">
        <w:rPr>
          <w:sz w:val="48"/>
          <w:szCs w:val="48"/>
        </w:rPr>
        <w:t xml:space="preserve">: Extended Appeals </w:t>
      </w:r>
    </w:p>
    <w:p w14:paraId="259A3B2A" w14:textId="77777777" w:rsidR="00E80098" w:rsidRDefault="00E80098" w:rsidP="00E80098">
      <w:pPr>
        <w:rPr>
          <w:i/>
          <w:iCs/>
          <w:sz w:val="24"/>
          <w:szCs w:val="24"/>
        </w:rPr>
      </w:pPr>
    </w:p>
    <w:p w14:paraId="2D5BEC19" w14:textId="05FE8119" w:rsidR="00E80098" w:rsidRPr="00E80098" w:rsidRDefault="00E80098" w:rsidP="00E80098">
      <w:pPr>
        <w:rPr>
          <w:i/>
          <w:iCs/>
          <w:sz w:val="24"/>
          <w:szCs w:val="24"/>
        </w:rPr>
      </w:pPr>
      <w:r w:rsidRPr="00E80098">
        <w:rPr>
          <w:i/>
          <w:iCs/>
          <w:sz w:val="24"/>
          <w:szCs w:val="24"/>
        </w:rPr>
        <w:t xml:space="preserve">Key elements of the </w:t>
      </w:r>
      <w:r w:rsidR="009D0C15">
        <w:rPr>
          <w:i/>
          <w:iCs/>
          <w:sz w:val="24"/>
          <w:szCs w:val="24"/>
        </w:rPr>
        <w:t>SEND Tribunal: Extended Appeals</w:t>
      </w:r>
    </w:p>
    <w:p w14:paraId="4C5931E7" w14:textId="4034093D" w:rsidR="00411AD4" w:rsidRDefault="004F30D7" w:rsidP="004F30D7">
      <w:pPr>
        <w:spacing w:after="100"/>
        <w:ind w:right="-24"/>
        <w:rPr>
          <w:rFonts w:cstheme="minorHAnsi"/>
          <w:color w:val="000000" w:themeColor="text1"/>
          <w:kern w:val="24"/>
        </w:rPr>
      </w:pPr>
      <w:r w:rsidRPr="004F30D7">
        <w:rPr>
          <w:rFonts w:cstheme="minorHAnsi"/>
          <w:color w:val="000000" w:themeColor="text1"/>
          <w:kern w:val="24"/>
        </w:rPr>
        <w:t>On 20 July 2021 the Department for Education confirmed it will be continuing the extended powers given to the SEND Tribunal since April 2018 to hear appeals and make non-binding recommendations about health and social care aspects of EHC plans, provided those appeals also include education elements.</w:t>
      </w:r>
      <w:r w:rsidR="007754A5">
        <w:rPr>
          <w:rFonts w:cstheme="minorHAnsi"/>
          <w:color w:val="000000" w:themeColor="text1"/>
          <w:kern w:val="24"/>
        </w:rPr>
        <w:t xml:space="preserve"> These powers were tested under a National Trial.</w:t>
      </w:r>
      <w:r w:rsidRPr="004F30D7">
        <w:rPr>
          <w:rFonts w:cstheme="minorHAnsi"/>
          <w:color w:val="000000" w:themeColor="text1"/>
          <w:kern w:val="24"/>
        </w:rPr>
        <w:t xml:space="preserve"> As arrangements that have been in place since April 2018 are continuing, with no new requirements introduced, LAs, health commissioning bodies and parents and young people should follow the same procedure for the Tribunal</w:t>
      </w:r>
      <w:r w:rsidR="007754A5">
        <w:rPr>
          <w:rFonts w:cstheme="minorHAnsi"/>
          <w:color w:val="000000" w:themeColor="text1"/>
          <w:kern w:val="24"/>
        </w:rPr>
        <w:t xml:space="preserve"> as done currently</w:t>
      </w:r>
      <w:r w:rsidRPr="004F30D7">
        <w:rPr>
          <w:rFonts w:cstheme="minorHAnsi"/>
          <w:color w:val="000000" w:themeColor="text1"/>
          <w:kern w:val="24"/>
        </w:rPr>
        <w:t>.</w:t>
      </w:r>
      <w:r>
        <w:rPr>
          <w:rFonts w:cstheme="minorHAnsi"/>
          <w:color w:val="000000" w:themeColor="text1"/>
          <w:kern w:val="24"/>
        </w:rPr>
        <w:t xml:space="preserve"> </w:t>
      </w:r>
    </w:p>
    <w:p w14:paraId="2A165D74" w14:textId="0FBCBE80" w:rsidR="002C5E93" w:rsidRDefault="00593740" w:rsidP="006A3596">
      <w:pPr>
        <w:spacing w:after="100"/>
        <w:rPr>
          <w:rFonts w:cstheme="minorHAnsi"/>
          <w:color w:val="000000" w:themeColor="text1"/>
          <w:kern w:val="24"/>
        </w:rPr>
      </w:pPr>
      <w:r>
        <w:rPr>
          <w:rFonts w:cstheme="minorHAnsi"/>
          <w:color w:val="000000" w:themeColor="text1"/>
          <w:kern w:val="24"/>
        </w:rPr>
        <w:t xml:space="preserve">Before </w:t>
      </w:r>
      <w:r w:rsidR="00CD390D">
        <w:rPr>
          <w:rFonts w:cstheme="minorHAnsi"/>
          <w:color w:val="000000" w:themeColor="text1"/>
          <w:kern w:val="24"/>
        </w:rPr>
        <w:t>the national trial,</w:t>
      </w:r>
      <w:r>
        <w:rPr>
          <w:rFonts w:cstheme="minorHAnsi"/>
          <w:color w:val="000000" w:themeColor="text1"/>
          <w:kern w:val="24"/>
        </w:rPr>
        <w:t xml:space="preserve"> p</w:t>
      </w:r>
      <w:r w:rsidR="0058454B">
        <w:rPr>
          <w:rFonts w:cstheme="minorHAnsi"/>
          <w:color w:val="000000" w:themeColor="text1"/>
          <w:kern w:val="24"/>
        </w:rPr>
        <w:t xml:space="preserve">arents and young people </w:t>
      </w:r>
      <w:r w:rsidR="000A4F03">
        <w:rPr>
          <w:rFonts w:cstheme="minorHAnsi"/>
          <w:color w:val="000000" w:themeColor="text1"/>
          <w:kern w:val="24"/>
        </w:rPr>
        <w:t xml:space="preserve">were </w:t>
      </w:r>
      <w:r w:rsidR="0058454B">
        <w:rPr>
          <w:rFonts w:cstheme="minorHAnsi"/>
          <w:color w:val="000000" w:themeColor="text1"/>
          <w:kern w:val="24"/>
        </w:rPr>
        <w:t>only able to appeal</w:t>
      </w:r>
      <w:r w:rsidR="002C5E93" w:rsidRPr="002C5E93">
        <w:rPr>
          <w:rFonts w:cstheme="minorHAnsi"/>
          <w:color w:val="000000" w:themeColor="text1"/>
          <w:kern w:val="24"/>
        </w:rPr>
        <w:t xml:space="preserve"> the education</w:t>
      </w:r>
      <w:r w:rsidR="00A04590">
        <w:rPr>
          <w:rFonts w:cstheme="minorHAnsi"/>
          <w:color w:val="000000" w:themeColor="text1"/>
          <w:kern w:val="24"/>
        </w:rPr>
        <w:t>al</w:t>
      </w:r>
      <w:r w:rsidR="002C5E93" w:rsidRPr="002C5E93">
        <w:rPr>
          <w:rFonts w:cstheme="minorHAnsi"/>
          <w:color w:val="000000" w:themeColor="text1"/>
          <w:kern w:val="24"/>
        </w:rPr>
        <w:t xml:space="preserve"> aspects </w:t>
      </w:r>
      <w:r w:rsidR="00A04590">
        <w:rPr>
          <w:rFonts w:cstheme="minorHAnsi"/>
          <w:color w:val="000000" w:themeColor="text1"/>
          <w:kern w:val="24"/>
        </w:rPr>
        <w:t xml:space="preserve">of EHC </w:t>
      </w:r>
      <w:r w:rsidR="00CC2A31" w:rsidRPr="002C5E93">
        <w:rPr>
          <w:rFonts w:cstheme="minorHAnsi"/>
          <w:color w:val="000000" w:themeColor="text1"/>
          <w:kern w:val="24"/>
        </w:rPr>
        <w:t>plans</w:t>
      </w:r>
      <w:r w:rsidR="00CC2A31">
        <w:rPr>
          <w:rFonts w:cstheme="minorHAnsi"/>
          <w:color w:val="000000" w:themeColor="text1"/>
          <w:kern w:val="24"/>
        </w:rPr>
        <w:t>.</w:t>
      </w:r>
      <w:r w:rsidR="00D40CFE">
        <w:rPr>
          <w:rFonts w:cstheme="minorHAnsi"/>
          <w:color w:val="000000" w:themeColor="text1"/>
          <w:kern w:val="24"/>
        </w:rPr>
        <w:t xml:space="preserve"> </w:t>
      </w:r>
      <w:r w:rsidR="00092909">
        <w:rPr>
          <w:rFonts w:cstheme="minorHAnsi"/>
          <w:color w:val="000000" w:themeColor="text1"/>
          <w:kern w:val="24"/>
        </w:rPr>
        <w:t>The</w:t>
      </w:r>
      <w:r w:rsidR="00D40CFE">
        <w:rPr>
          <w:rFonts w:cstheme="minorHAnsi"/>
          <w:color w:val="000000" w:themeColor="text1"/>
          <w:kern w:val="24"/>
        </w:rPr>
        <w:t xml:space="preserve"> </w:t>
      </w:r>
      <w:r w:rsidR="007754A5">
        <w:rPr>
          <w:rFonts w:cstheme="minorHAnsi"/>
          <w:color w:val="000000" w:themeColor="text1"/>
          <w:kern w:val="24"/>
        </w:rPr>
        <w:t>extended powers</w:t>
      </w:r>
      <w:r w:rsidR="002C5E93" w:rsidRPr="002C5E93">
        <w:rPr>
          <w:rFonts w:cstheme="minorHAnsi"/>
          <w:color w:val="000000" w:themeColor="text1"/>
          <w:kern w:val="24"/>
        </w:rPr>
        <w:t xml:space="preserve"> </w:t>
      </w:r>
      <w:r w:rsidR="00CD390D">
        <w:rPr>
          <w:rFonts w:cstheme="minorHAnsi"/>
          <w:color w:val="000000" w:themeColor="text1"/>
          <w:kern w:val="24"/>
        </w:rPr>
        <w:t>gave</w:t>
      </w:r>
      <w:r w:rsidR="002C5E93" w:rsidRPr="002C5E93">
        <w:rPr>
          <w:rFonts w:cstheme="minorHAnsi"/>
          <w:color w:val="000000" w:themeColor="text1"/>
          <w:kern w:val="24"/>
        </w:rPr>
        <w:t xml:space="preserve"> parents </w:t>
      </w:r>
      <w:r w:rsidR="00A04590">
        <w:rPr>
          <w:rFonts w:cstheme="minorHAnsi"/>
          <w:color w:val="000000" w:themeColor="text1"/>
          <w:kern w:val="24"/>
        </w:rPr>
        <w:t xml:space="preserve">and young people </w:t>
      </w:r>
      <w:r w:rsidR="002C5E93" w:rsidRPr="002C5E93">
        <w:rPr>
          <w:rFonts w:cstheme="minorHAnsi"/>
          <w:color w:val="000000" w:themeColor="text1"/>
          <w:kern w:val="24"/>
        </w:rPr>
        <w:t xml:space="preserve">the </w:t>
      </w:r>
      <w:r w:rsidR="00D40CFE">
        <w:rPr>
          <w:rFonts w:cstheme="minorHAnsi"/>
          <w:color w:val="000000" w:themeColor="text1"/>
          <w:kern w:val="24"/>
        </w:rPr>
        <w:t>right</w:t>
      </w:r>
      <w:r w:rsidR="00D40CFE" w:rsidRPr="002C5E93">
        <w:rPr>
          <w:rFonts w:cstheme="minorHAnsi"/>
          <w:color w:val="000000" w:themeColor="text1"/>
          <w:kern w:val="24"/>
        </w:rPr>
        <w:t xml:space="preserve"> </w:t>
      </w:r>
      <w:r w:rsidR="002C5E93" w:rsidRPr="002C5E93">
        <w:rPr>
          <w:rFonts w:cstheme="minorHAnsi"/>
          <w:color w:val="000000" w:themeColor="text1"/>
          <w:kern w:val="24"/>
        </w:rPr>
        <w:t xml:space="preserve">to appeal </w:t>
      </w:r>
      <w:r w:rsidR="00D40CFE">
        <w:rPr>
          <w:rFonts w:cstheme="minorHAnsi"/>
          <w:color w:val="000000" w:themeColor="text1"/>
          <w:kern w:val="24"/>
        </w:rPr>
        <w:t xml:space="preserve">about </w:t>
      </w:r>
      <w:r w:rsidR="002C5E93" w:rsidRPr="002C5E93">
        <w:rPr>
          <w:rFonts w:cstheme="minorHAnsi"/>
          <w:color w:val="000000" w:themeColor="text1"/>
          <w:kern w:val="24"/>
        </w:rPr>
        <w:t xml:space="preserve">health and social care issues </w:t>
      </w:r>
      <w:r w:rsidR="00D40CFE">
        <w:rPr>
          <w:rFonts w:cstheme="minorHAnsi"/>
          <w:color w:val="000000" w:themeColor="text1"/>
          <w:kern w:val="24"/>
        </w:rPr>
        <w:t xml:space="preserve">relating to SEN decisions or contents of a EHC plan </w:t>
      </w:r>
      <w:r w:rsidR="002C5E93" w:rsidRPr="002C5E93">
        <w:rPr>
          <w:rFonts w:cstheme="minorHAnsi"/>
          <w:color w:val="000000" w:themeColor="text1"/>
          <w:kern w:val="24"/>
        </w:rPr>
        <w:t xml:space="preserve">via a single route.  </w:t>
      </w:r>
    </w:p>
    <w:p w14:paraId="2E382E5E" w14:textId="0594FC15" w:rsidR="00CD390D" w:rsidRDefault="00B5190A" w:rsidP="00CD390D">
      <w:pPr>
        <w:spacing w:after="100"/>
        <w:ind w:right="-24"/>
        <w:rPr>
          <w:rFonts w:cstheme="minorHAnsi"/>
          <w:color w:val="000000" w:themeColor="text1"/>
          <w:kern w:val="24"/>
        </w:rPr>
      </w:pPr>
      <w:r>
        <w:rPr>
          <w:rFonts w:cstheme="minorHAnsi"/>
          <w:color w:val="000000" w:themeColor="text1"/>
          <w:kern w:val="24"/>
        </w:rPr>
        <w:t xml:space="preserve">The national trial ended </w:t>
      </w:r>
      <w:r w:rsidR="00AF132D">
        <w:rPr>
          <w:rFonts w:cstheme="minorHAnsi"/>
          <w:color w:val="000000" w:themeColor="text1"/>
          <w:kern w:val="24"/>
        </w:rPr>
        <w:t>31 August 2021</w:t>
      </w:r>
      <w:r w:rsidR="007754A5">
        <w:rPr>
          <w:rFonts w:cstheme="minorHAnsi"/>
          <w:color w:val="000000" w:themeColor="text1"/>
          <w:kern w:val="24"/>
        </w:rPr>
        <w:t>.</w:t>
      </w:r>
      <w:r w:rsidR="00AF132D">
        <w:rPr>
          <w:rFonts w:cstheme="minorHAnsi"/>
          <w:color w:val="000000" w:themeColor="text1"/>
          <w:kern w:val="24"/>
        </w:rPr>
        <w:t xml:space="preserve"> </w:t>
      </w:r>
      <w:r w:rsidR="007754A5">
        <w:rPr>
          <w:rFonts w:cstheme="minorHAnsi"/>
          <w:color w:val="000000" w:themeColor="text1"/>
          <w:kern w:val="24"/>
        </w:rPr>
        <w:t>From</w:t>
      </w:r>
      <w:r w:rsidR="00CD390D" w:rsidRPr="004F30D7">
        <w:rPr>
          <w:rFonts w:cstheme="minorHAnsi"/>
          <w:color w:val="000000" w:themeColor="text1"/>
          <w:kern w:val="24"/>
        </w:rPr>
        <w:t xml:space="preserve"> 1 September 2021, </w:t>
      </w:r>
      <w:r w:rsidR="00CF723B">
        <w:rPr>
          <w:rFonts w:cstheme="minorHAnsi"/>
          <w:color w:val="000000" w:themeColor="text1"/>
          <w:kern w:val="24"/>
        </w:rPr>
        <w:t xml:space="preserve">the extended powers will continue and </w:t>
      </w:r>
      <w:r w:rsidR="00CD390D" w:rsidRPr="004F30D7">
        <w:rPr>
          <w:rFonts w:cstheme="minorHAnsi"/>
          <w:color w:val="000000" w:themeColor="text1"/>
          <w:kern w:val="24"/>
        </w:rPr>
        <w:t xml:space="preserve">the Tribunal appeals which include health or social care aspects, will </w:t>
      </w:r>
      <w:r>
        <w:rPr>
          <w:rFonts w:cstheme="minorHAnsi"/>
          <w:color w:val="000000" w:themeColor="text1"/>
          <w:kern w:val="24"/>
        </w:rPr>
        <w:t xml:space="preserve">now </w:t>
      </w:r>
      <w:r w:rsidR="00CD390D" w:rsidRPr="004F30D7">
        <w:rPr>
          <w:rFonts w:cstheme="minorHAnsi"/>
          <w:color w:val="000000" w:themeColor="text1"/>
          <w:kern w:val="24"/>
        </w:rPr>
        <w:t>be known as ‘extended appeals’.</w:t>
      </w:r>
    </w:p>
    <w:p w14:paraId="2E8E9007" w14:textId="77777777" w:rsidR="00CD390D" w:rsidRPr="002C5E93" w:rsidRDefault="00CD390D" w:rsidP="006A3596">
      <w:pPr>
        <w:spacing w:after="100"/>
        <w:rPr>
          <w:rFonts w:cstheme="minorHAnsi"/>
          <w:color w:val="000000" w:themeColor="text1"/>
          <w:kern w:val="24"/>
        </w:rPr>
      </w:pPr>
    </w:p>
    <w:p w14:paraId="41AB6DD7" w14:textId="2E87490D" w:rsidR="00F8278D" w:rsidRPr="005938A7" w:rsidRDefault="00F8278D" w:rsidP="00F8278D">
      <w:pPr>
        <w:spacing w:after="100"/>
      </w:pPr>
      <w:r>
        <w:t xml:space="preserve">Although the recommendations are non-binding, they are made by a specialist Tribunal and should not be ignored or rejected without careful consideration. Any reasons for not following them must be set out in detail in writing and sent to the </w:t>
      </w:r>
      <w:r w:rsidR="00092909">
        <w:t>parent/young person</w:t>
      </w:r>
      <w:r>
        <w:t>. Parents and young people will be able to complain to the Ombudsm</w:t>
      </w:r>
      <w:r w:rsidR="00D40CFE">
        <w:t>a</w:t>
      </w:r>
      <w:r>
        <w:t xml:space="preserve">n or seek to have the decision judicially reviewed. </w:t>
      </w:r>
    </w:p>
    <w:p w14:paraId="1B5CC979" w14:textId="77777777" w:rsidR="00E80098" w:rsidRDefault="00E80098" w:rsidP="00F8278D">
      <w:pPr>
        <w:spacing w:after="100"/>
        <w:rPr>
          <w:bCs/>
        </w:rPr>
      </w:pPr>
    </w:p>
    <w:p w14:paraId="2684D42B" w14:textId="77777777" w:rsidR="005C0B31" w:rsidRPr="00E80098" w:rsidRDefault="005C0B31" w:rsidP="00E80098">
      <w:pPr>
        <w:pStyle w:val="Heading1"/>
      </w:pPr>
      <w:r w:rsidRPr="00E80098">
        <w:t>Roles and Responsibilities</w:t>
      </w:r>
    </w:p>
    <w:p w14:paraId="50CC500F" w14:textId="487E737B" w:rsidR="005C0B31" w:rsidRPr="005C0B31" w:rsidRDefault="005C0B31" w:rsidP="006A3596">
      <w:pPr>
        <w:spacing w:after="100"/>
        <w:rPr>
          <w:bCs/>
        </w:rPr>
      </w:pPr>
      <w:r w:rsidRPr="005C0B31">
        <w:rPr>
          <w:b/>
          <w:bCs/>
        </w:rPr>
        <w:t xml:space="preserve">SEND Tribunal will have powers to: </w:t>
      </w:r>
      <w:r w:rsidRPr="005C0B31">
        <w:rPr>
          <w:bCs/>
        </w:rPr>
        <w:t xml:space="preserve">Recommend that health </w:t>
      </w:r>
      <w:r w:rsidR="00594507">
        <w:rPr>
          <w:bCs/>
        </w:rPr>
        <w:t>and</w:t>
      </w:r>
      <w:r w:rsidR="00594507" w:rsidRPr="005C0B31">
        <w:rPr>
          <w:bCs/>
        </w:rPr>
        <w:t xml:space="preserve"> </w:t>
      </w:r>
      <w:r w:rsidRPr="005C0B31">
        <w:rPr>
          <w:bCs/>
        </w:rPr>
        <w:t xml:space="preserve">social care needs </w:t>
      </w:r>
      <w:r w:rsidR="00594507">
        <w:rPr>
          <w:bCs/>
        </w:rPr>
        <w:t>and</w:t>
      </w:r>
      <w:r w:rsidR="00594507" w:rsidRPr="005C0B31">
        <w:rPr>
          <w:bCs/>
        </w:rPr>
        <w:t xml:space="preserve"> </w:t>
      </w:r>
      <w:r w:rsidRPr="005C0B31">
        <w:rPr>
          <w:bCs/>
        </w:rPr>
        <w:t xml:space="preserve">provision are specified or amended in </w:t>
      </w:r>
      <w:r w:rsidR="00D40CFE">
        <w:rPr>
          <w:bCs/>
        </w:rPr>
        <w:t xml:space="preserve">EHC </w:t>
      </w:r>
      <w:r w:rsidRPr="005C0B31">
        <w:rPr>
          <w:bCs/>
        </w:rPr>
        <w:t>plans</w:t>
      </w:r>
      <w:r w:rsidR="00D40CFE">
        <w:rPr>
          <w:bCs/>
        </w:rPr>
        <w:t xml:space="preserve">. The Tribunal </w:t>
      </w:r>
      <w:r>
        <w:rPr>
          <w:bCs/>
        </w:rPr>
        <w:t xml:space="preserve">must </w:t>
      </w:r>
      <w:r w:rsidRPr="005C0B31">
        <w:rPr>
          <w:bCs/>
        </w:rPr>
        <w:t>send a copy of the recommendation to health commissioners as well as the LA</w:t>
      </w:r>
      <w:r w:rsidR="00B53957">
        <w:rPr>
          <w:bCs/>
        </w:rPr>
        <w:t>.</w:t>
      </w:r>
    </w:p>
    <w:p w14:paraId="52C818BB" w14:textId="7ABB71DA" w:rsidR="00287507" w:rsidRPr="005C0B31" w:rsidRDefault="00287507" w:rsidP="00287507">
      <w:pPr>
        <w:spacing w:after="100"/>
        <w:rPr>
          <w:bCs/>
        </w:rPr>
      </w:pPr>
      <w:r w:rsidRPr="005C0B31">
        <w:rPr>
          <w:b/>
          <w:bCs/>
        </w:rPr>
        <w:t xml:space="preserve">Health and social care commissioners </w:t>
      </w:r>
      <w:r w:rsidRPr="00FA042F">
        <w:rPr>
          <w:b/>
          <w:bCs/>
          <w:u w:val="single"/>
        </w:rPr>
        <w:t>must</w:t>
      </w:r>
      <w:r w:rsidRPr="005C0B31">
        <w:rPr>
          <w:b/>
          <w:bCs/>
        </w:rPr>
        <w:t xml:space="preserve">: </w:t>
      </w:r>
      <w:r w:rsidRPr="005C0B31">
        <w:rPr>
          <w:bCs/>
        </w:rPr>
        <w:t>Respond to any request for information and evidence within the timeframe set by the Tribunal</w:t>
      </w:r>
      <w:r>
        <w:rPr>
          <w:bCs/>
        </w:rPr>
        <w:t>;</w:t>
      </w:r>
      <w:r w:rsidRPr="005C0B31">
        <w:rPr>
          <w:bCs/>
        </w:rPr>
        <w:t xml:space="preserve"> </w:t>
      </w:r>
      <w:r>
        <w:rPr>
          <w:bCs/>
        </w:rPr>
        <w:t xml:space="preserve">send a witness </w:t>
      </w:r>
      <w:r w:rsidR="00FC4CB3">
        <w:t xml:space="preserve">the health and/or social care bodies </w:t>
      </w:r>
      <w:r>
        <w:rPr>
          <w:bCs/>
        </w:rPr>
        <w:t>to</w:t>
      </w:r>
      <w:r w:rsidRPr="005C0B31">
        <w:rPr>
          <w:bCs/>
        </w:rPr>
        <w:t xml:space="preserve"> the hearing if required</w:t>
      </w:r>
      <w:r>
        <w:rPr>
          <w:bCs/>
        </w:rPr>
        <w:t>;</w:t>
      </w:r>
      <w:r w:rsidRPr="005C0B31">
        <w:rPr>
          <w:bCs/>
        </w:rPr>
        <w:t xml:space="preserve"> and respond to the </w:t>
      </w:r>
      <w:r w:rsidR="00092909">
        <w:rPr>
          <w:bCs/>
        </w:rPr>
        <w:t>parent/young person</w:t>
      </w:r>
      <w:r w:rsidRPr="005C0B31">
        <w:rPr>
          <w:bCs/>
        </w:rPr>
        <w:t xml:space="preserve"> and the LA within 5 weeks of a </w:t>
      </w:r>
      <w:r>
        <w:rPr>
          <w:bCs/>
        </w:rPr>
        <w:t>recommendation being made</w:t>
      </w:r>
      <w:r w:rsidRPr="005C0B31">
        <w:rPr>
          <w:bCs/>
        </w:rPr>
        <w:t xml:space="preserve"> setting out the steps they have decided to take or </w:t>
      </w:r>
      <w:r w:rsidR="00D40CFE">
        <w:rPr>
          <w:bCs/>
        </w:rPr>
        <w:t>giv</w:t>
      </w:r>
      <w:r w:rsidR="00092909">
        <w:rPr>
          <w:bCs/>
        </w:rPr>
        <w:t>ing</w:t>
      </w:r>
      <w:r w:rsidR="00D40CFE">
        <w:rPr>
          <w:bCs/>
        </w:rPr>
        <w:t xml:space="preserve"> reasons </w:t>
      </w:r>
      <w:r w:rsidRPr="005C0B31">
        <w:rPr>
          <w:bCs/>
        </w:rPr>
        <w:t>why they are not going to follow the recommendation.</w:t>
      </w:r>
    </w:p>
    <w:p w14:paraId="49283281" w14:textId="4517B9A4" w:rsidR="005C0B31" w:rsidRPr="005C0B31" w:rsidRDefault="005C0B31" w:rsidP="006A3596">
      <w:pPr>
        <w:spacing w:after="100"/>
        <w:rPr>
          <w:bCs/>
        </w:rPr>
      </w:pPr>
      <w:r w:rsidRPr="005C0B31">
        <w:rPr>
          <w:b/>
          <w:bCs/>
        </w:rPr>
        <w:t xml:space="preserve">LA SEND teams </w:t>
      </w:r>
      <w:r w:rsidRPr="00FA042F">
        <w:rPr>
          <w:b/>
          <w:bCs/>
          <w:u w:val="single"/>
        </w:rPr>
        <w:t>must</w:t>
      </w:r>
      <w:r w:rsidRPr="005C0B31">
        <w:rPr>
          <w:b/>
          <w:bCs/>
        </w:rPr>
        <w:t xml:space="preserve">: </w:t>
      </w:r>
      <w:r w:rsidR="00735DAF">
        <w:rPr>
          <w:bCs/>
        </w:rPr>
        <w:t>Notify</w:t>
      </w:r>
      <w:r w:rsidR="00D53F23">
        <w:rPr>
          <w:bCs/>
        </w:rPr>
        <w:t xml:space="preserve"> parents and young people of the Tribunal’s power to make </w:t>
      </w:r>
      <w:r w:rsidR="008720E7">
        <w:rPr>
          <w:bCs/>
        </w:rPr>
        <w:t>n</w:t>
      </w:r>
      <w:r w:rsidR="00D53F23">
        <w:rPr>
          <w:bCs/>
        </w:rPr>
        <w:t>on-binding recommendations</w:t>
      </w:r>
      <w:r w:rsidR="00D53F23">
        <w:t xml:space="preserve"> on the health and social care needs or provision specified in EHC plans</w:t>
      </w:r>
      <w:r w:rsidR="00BB6CC8">
        <w:t xml:space="preserve">; inform </w:t>
      </w:r>
      <w:r w:rsidRPr="005C0B31">
        <w:rPr>
          <w:bCs/>
        </w:rPr>
        <w:t>parents/young people of the</w:t>
      </w:r>
      <w:r w:rsidR="00FA63D6">
        <w:rPr>
          <w:bCs/>
        </w:rPr>
        <w:t xml:space="preserve">ir </w:t>
      </w:r>
      <w:r w:rsidRPr="005C0B31">
        <w:rPr>
          <w:bCs/>
        </w:rPr>
        <w:t xml:space="preserve"> rights through decision letters</w:t>
      </w:r>
      <w:r w:rsidR="005A79CE">
        <w:rPr>
          <w:bCs/>
        </w:rPr>
        <w:t xml:space="preserve"> and </w:t>
      </w:r>
      <w:r w:rsidR="003A583E" w:rsidRPr="003A583E">
        <w:rPr>
          <w:bCs/>
        </w:rPr>
        <w:t xml:space="preserve">the </w:t>
      </w:r>
      <w:r w:rsidR="00092909">
        <w:rPr>
          <w:bCs/>
        </w:rPr>
        <w:t>Local O</w:t>
      </w:r>
      <w:r w:rsidR="003A583E" w:rsidRPr="003A583E">
        <w:rPr>
          <w:bCs/>
        </w:rPr>
        <w:t>ffer</w:t>
      </w:r>
      <w:r w:rsidR="00F8278D">
        <w:rPr>
          <w:bCs/>
        </w:rPr>
        <w:t>;</w:t>
      </w:r>
      <w:r w:rsidRPr="005C0B31">
        <w:rPr>
          <w:bCs/>
        </w:rPr>
        <w:t xml:space="preserve"> provide evidence to the Tribunal from the health and social care bodies in response to </w:t>
      </w:r>
      <w:r w:rsidR="007C2ADB">
        <w:rPr>
          <w:bCs/>
        </w:rPr>
        <w:t>any</w:t>
      </w:r>
      <w:r w:rsidRPr="005C0B31">
        <w:rPr>
          <w:bCs/>
        </w:rPr>
        <w:t xml:space="preserve"> issues raised within the timeframe set by the Tribunal</w:t>
      </w:r>
      <w:r w:rsidR="00BB6CC8">
        <w:rPr>
          <w:bCs/>
        </w:rPr>
        <w:t xml:space="preserve"> and</w:t>
      </w:r>
      <w:r w:rsidR="00FC7D7A">
        <w:rPr>
          <w:bCs/>
        </w:rPr>
        <w:t xml:space="preserve"> </w:t>
      </w:r>
      <w:r w:rsidR="007C2ADB">
        <w:rPr>
          <w:bCs/>
        </w:rPr>
        <w:t xml:space="preserve">seek permission to </w:t>
      </w:r>
      <w:r w:rsidR="00FC7D7A">
        <w:rPr>
          <w:bCs/>
        </w:rPr>
        <w:t>bring additional witnesses to the hearing as necessary</w:t>
      </w:r>
      <w:r w:rsidR="00BB6CC8">
        <w:rPr>
          <w:bCs/>
        </w:rPr>
        <w:t>.</w:t>
      </w:r>
      <w:r w:rsidR="00156AC4">
        <w:rPr>
          <w:bCs/>
        </w:rPr>
        <w:t xml:space="preserve"> </w:t>
      </w:r>
    </w:p>
    <w:p w14:paraId="2A0C3271" w14:textId="4F359EC2" w:rsidR="002C5E93" w:rsidRDefault="007C2ADB" w:rsidP="006A3596">
      <w:pPr>
        <w:spacing w:after="100"/>
        <w:rPr>
          <w:bCs/>
        </w:rPr>
      </w:pPr>
      <w:r>
        <w:rPr>
          <w:b/>
          <w:bCs/>
        </w:rPr>
        <w:t>Information, Advice and Support Services should</w:t>
      </w:r>
      <w:r w:rsidR="005C0B31" w:rsidRPr="005C0B31">
        <w:rPr>
          <w:b/>
          <w:bCs/>
        </w:rPr>
        <w:t xml:space="preserve">: </w:t>
      </w:r>
      <w:r w:rsidR="005C0B31" w:rsidRPr="005C0B31">
        <w:rPr>
          <w:bCs/>
        </w:rPr>
        <w:t xml:space="preserve">Disseminate information on the </w:t>
      </w:r>
      <w:r w:rsidR="00BB6CC8">
        <w:rPr>
          <w:bCs/>
        </w:rPr>
        <w:t>SEND Tribunal: extended appeal</w:t>
      </w:r>
      <w:r w:rsidR="00594507">
        <w:rPr>
          <w:bCs/>
        </w:rPr>
        <w:t>;</w:t>
      </w:r>
      <w:r w:rsidR="005C0B31" w:rsidRPr="005C0B31">
        <w:rPr>
          <w:bCs/>
        </w:rPr>
        <w:t xml:space="preserve"> communicate the rights to parents and young people</w:t>
      </w:r>
      <w:r w:rsidR="00594507">
        <w:rPr>
          <w:bCs/>
        </w:rPr>
        <w:t>;</w:t>
      </w:r>
      <w:r w:rsidR="005C0B31" w:rsidRPr="005C0B31">
        <w:rPr>
          <w:bCs/>
        </w:rPr>
        <w:t xml:space="preserve"> </w:t>
      </w:r>
      <w:r>
        <w:rPr>
          <w:bCs/>
        </w:rPr>
        <w:t>provide</w:t>
      </w:r>
      <w:r w:rsidRPr="007C2ADB">
        <w:rPr>
          <w:bCs/>
        </w:rPr>
        <w:t xml:space="preserve"> support</w:t>
      </w:r>
      <w:r>
        <w:rPr>
          <w:bCs/>
        </w:rPr>
        <w:t xml:space="preserve"> to parents and young people</w:t>
      </w:r>
      <w:r w:rsidRPr="007C2ADB">
        <w:rPr>
          <w:bCs/>
        </w:rPr>
        <w:t xml:space="preserve"> with managing appeals, which can include </w:t>
      </w:r>
      <w:r>
        <w:rPr>
          <w:bCs/>
        </w:rPr>
        <w:t xml:space="preserve">support with </w:t>
      </w:r>
      <w:r w:rsidRPr="007C2ADB">
        <w:rPr>
          <w:bCs/>
        </w:rPr>
        <w:t>preparing cases and attendance at hearings</w:t>
      </w:r>
      <w:r>
        <w:rPr>
          <w:bCs/>
        </w:rPr>
        <w:t>; and signpost to further support</w:t>
      </w:r>
      <w:r w:rsidR="005C0B31" w:rsidRPr="005C0B31">
        <w:rPr>
          <w:bCs/>
        </w:rPr>
        <w:t>.</w:t>
      </w:r>
    </w:p>
    <w:p w14:paraId="7FE7FB0E" w14:textId="77777777" w:rsidR="00E80098" w:rsidRPr="002C5E93" w:rsidRDefault="00E80098" w:rsidP="006A3596">
      <w:pPr>
        <w:spacing w:after="100"/>
      </w:pPr>
    </w:p>
    <w:p w14:paraId="30F7DC90" w14:textId="59E72835" w:rsidR="002C5E93" w:rsidRPr="00E80098" w:rsidRDefault="002C5E93" w:rsidP="00E80098">
      <w:pPr>
        <w:pStyle w:val="Heading1"/>
      </w:pPr>
      <w:r w:rsidRPr="00E80098">
        <w:t>Support package</w:t>
      </w:r>
      <w:r w:rsidR="00594507" w:rsidRPr="00E80098">
        <w:t xml:space="preserve"> for local areas</w:t>
      </w:r>
    </w:p>
    <w:p w14:paraId="1417A383" w14:textId="158458D7" w:rsidR="00756FE8" w:rsidRPr="00941AAF" w:rsidRDefault="00756FE8" w:rsidP="002C5E93">
      <w:pPr>
        <w:rPr>
          <w:bCs/>
          <w:u w:val="single"/>
        </w:rPr>
      </w:pPr>
      <w:r w:rsidRPr="00941AAF">
        <w:rPr>
          <w:bCs/>
        </w:rPr>
        <w:t xml:space="preserve">The </w:t>
      </w:r>
      <w:r w:rsidR="00F90ACC" w:rsidRPr="00941AAF">
        <w:rPr>
          <w:bCs/>
        </w:rPr>
        <w:t xml:space="preserve">resources </w:t>
      </w:r>
      <w:r w:rsidR="001C3881" w:rsidRPr="00941AAF">
        <w:rPr>
          <w:bCs/>
        </w:rPr>
        <w:t>referred to</w:t>
      </w:r>
      <w:r w:rsidR="00F90ACC" w:rsidRPr="00941AAF">
        <w:rPr>
          <w:bCs/>
        </w:rPr>
        <w:t xml:space="preserve"> </w:t>
      </w:r>
      <w:r w:rsidRPr="00941AAF">
        <w:rPr>
          <w:bCs/>
        </w:rPr>
        <w:t>below can</w:t>
      </w:r>
      <w:r w:rsidR="00F90ACC" w:rsidRPr="00941AAF">
        <w:rPr>
          <w:bCs/>
        </w:rPr>
        <w:t xml:space="preserve"> all</w:t>
      </w:r>
      <w:r w:rsidRPr="00941AAF">
        <w:rPr>
          <w:bCs/>
        </w:rPr>
        <w:t xml:space="preserve"> be found </w:t>
      </w:r>
      <w:r w:rsidR="007C2ADB">
        <w:rPr>
          <w:bCs/>
        </w:rPr>
        <w:t xml:space="preserve">in the </w:t>
      </w:r>
      <w:hyperlink r:id="rId12" w:history="1">
        <w:r w:rsidR="007C2ADB" w:rsidRPr="00190CD1">
          <w:rPr>
            <w:rStyle w:val="Hyperlink"/>
            <w:bCs/>
          </w:rPr>
          <w:t>toolkit.</w:t>
        </w:r>
      </w:hyperlink>
      <w:r w:rsidR="00112197">
        <w:rPr>
          <w:bCs/>
          <w:u w:val="single"/>
        </w:rPr>
        <w:t xml:space="preserve"> </w:t>
      </w:r>
    </w:p>
    <w:p w14:paraId="54C0A2E0" w14:textId="0A561F5A" w:rsidR="002C5E93" w:rsidRPr="002C5E93" w:rsidRDefault="00861EFD" w:rsidP="006A3596">
      <w:pPr>
        <w:spacing w:after="100"/>
      </w:pPr>
      <w:r>
        <w:t>1.</w:t>
      </w:r>
      <w:r w:rsidR="002C5E93" w:rsidRPr="002C5E93">
        <w:t xml:space="preserve"> </w:t>
      </w:r>
      <w:r w:rsidR="002C5E93" w:rsidRPr="002C5E93">
        <w:rPr>
          <w:b/>
          <w:bCs/>
        </w:rPr>
        <w:t>Guidance</w:t>
      </w:r>
      <w:r w:rsidR="00917344">
        <w:rPr>
          <w:b/>
          <w:bCs/>
        </w:rPr>
        <w:t xml:space="preserve"> </w:t>
      </w:r>
      <w:r w:rsidR="002C5E93" w:rsidRPr="002C5E93">
        <w:rPr>
          <w:b/>
          <w:bCs/>
        </w:rPr>
        <w:t>–</w:t>
      </w:r>
      <w:r w:rsidR="00CF1CAC">
        <w:rPr>
          <w:b/>
          <w:bCs/>
        </w:rPr>
        <w:t xml:space="preserve"> </w:t>
      </w:r>
      <w:r w:rsidR="00CF1CAC">
        <w:t>G</w:t>
      </w:r>
      <w:r w:rsidR="002C5E93" w:rsidRPr="002C5E93">
        <w:t xml:space="preserve">uidance </w:t>
      </w:r>
      <w:r w:rsidR="00756FE8">
        <w:t>has been</w:t>
      </w:r>
      <w:r w:rsidR="00CF1CAC">
        <w:t xml:space="preserve"> produced </w:t>
      </w:r>
      <w:r w:rsidR="002C5E93" w:rsidRPr="002C5E93">
        <w:t xml:space="preserve">for </w:t>
      </w:r>
      <w:r w:rsidR="000D75C4">
        <w:t>SEND</w:t>
      </w:r>
      <w:r w:rsidR="002C5E93" w:rsidRPr="002C5E93">
        <w:t>, health and social care professionals</w:t>
      </w:r>
      <w:r w:rsidR="00594507">
        <w:t xml:space="preserve">, parents and young people </w:t>
      </w:r>
      <w:r w:rsidR="002C5E93" w:rsidRPr="002C5E93">
        <w:t>outlining the duties, how the trial will work and the support available.</w:t>
      </w:r>
      <w:r w:rsidR="00917344">
        <w:t xml:space="preserve"> </w:t>
      </w:r>
    </w:p>
    <w:p w14:paraId="7D355FF6" w14:textId="2AD6498B" w:rsidR="002C5E93" w:rsidRPr="002C5E93" w:rsidRDefault="00861EFD" w:rsidP="006A3596">
      <w:pPr>
        <w:spacing w:after="100"/>
      </w:pPr>
      <w:r>
        <w:t>2</w:t>
      </w:r>
      <w:r w:rsidR="002C5E93" w:rsidRPr="002C5E93">
        <w:t xml:space="preserve">. </w:t>
      </w:r>
      <w:r w:rsidR="002C5E93" w:rsidRPr="002C5E93">
        <w:rPr>
          <w:b/>
          <w:bCs/>
        </w:rPr>
        <w:t>Tool</w:t>
      </w:r>
      <w:r w:rsidR="009D18CB">
        <w:rPr>
          <w:b/>
          <w:bCs/>
        </w:rPr>
        <w:t>k</w:t>
      </w:r>
      <w:r w:rsidR="002C5E93" w:rsidRPr="002C5E93">
        <w:rPr>
          <w:b/>
          <w:bCs/>
        </w:rPr>
        <w:t xml:space="preserve">it – </w:t>
      </w:r>
      <w:r w:rsidR="002C5E93" w:rsidRPr="002C5E93">
        <w:t xml:space="preserve">To help </w:t>
      </w:r>
      <w:r w:rsidR="00B03012">
        <w:t xml:space="preserve">with </w:t>
      </w:r>
      <w:r w:rsidR="002C5E93" w:rsidRPr="002C5E93">
        <w:t>implement</w:t>
      </w:r>
      <w:r w:rsidR="00B03012">
        <w:t xml:space="preserve">ation, </w:t>
      </w:r>
      <w:r w:rsidR="009D18CB">
        <w:t>a tool</w:t>
      </w:r>
      <w:r w:rsidR="002C5E93" w:rsidRPr="002C5E93">
        <w:t xml:space="preserve">kit </w:t>
      </w:r>
      <w:r w:rsidR="00F90ACC">
        <w:t>has been</w:t>
      </w:r>
      <w:r w:rsidR="00CF1CAC">
        <w:t xml:space="preserve"> </w:t>
      </w:r>
      <w:r w:rsidR="00D40CFE">
        <w:t xml:space="preserve">produced </w:t>
      </w:r>
      <w:r w:rsidR="002C5E93" w:rsidRPr="002C5E93">
        <w:t>with template</w:t>
      </w:r>
      <w:r w:rsidR="00D40CFE">
        <w:t xml:space="preserve">s for </w:t>
      </w:r>
      <w:r w:rsidR="009D18CB">
        <w:t>L</w:t>
      </w:r>
      <w:r w:rsidR="00594507">
        <w:t xml:space="preserve">ocal </w:t>
      </w:r>
      <w:r w:rsidR="009D18CB">
        <w:t>O</w:t>
      </w:r>
      <w:r w:rsidR="00594507">
        <w:t xml:space="preserve">ffer and decision letter </w:t>
      </w:r>
      <w:r w:rsidR="002C5E93" w:rsidRPr="002C5E93">
        <w:t>wording</w:t>
      </w:r>
      <w:r w:rsidR="00594507">
        <w:t>, expense forms, further guidance</w:t>
      </w:r>
      <w:r w:rsidR="002C5E93" w:rsidRPr="002C5E93">
        <w:t xml:space="preserve"> and a FAQ document.</w:t>
      </w:r>
    </w:p>
    <w:p w14:paraId="200E45EF" w14:textId="4A814812" w:rsidR="00E21D1C" w:rsidRDefault="00861EFD" w:rsidP="006A3596">
      <w:pPr>
        <w:spacing w:after="100"/>
      </w:pPr>
      <w:r>
        <w:lastRenderedPageBreak/>
        <w:t>3</w:t>
      </w:r>
      <w:r w:rsidR="002C5E93" w:rsidRPr="002C5E93">
        <w:t xml:space="preserve">. </w:t>
      </w:r>
      <w:r w:rsidR="002C5E93" w:rsidRPr="002C5E93">
        <w:rPr>
          <w:b/>
          <w:bCs/>
        </w:rPr>
        <w:t xml:space="preserve">Ongoing support – </w:t>
      </w:r>
      <w:r w:rsidR="00CF1CAC" w:rsidRPr="00FA042F">
        <w:rPr>
          <w:bCs/>
        </w:rPr>
        <w:t>O</w:t>
      </w:r>
      <w:r w:rsidR="002C5E93" w:rsidRPr="002C5E93">
        <w:t xml:space="preserve">ngoing support </w:t>
      </w:r>
      <w:r w:rsidR="00CF1CAC">
        <w:t xml:space="preserve">will be provided </w:t>
      </w:r>
      <w:r w:rsidR="00266A85" w:rsidRPr="002C5E93">
        <w:t>through the</w:t>
      </w:r>
      <w:r w:rsidR="002C5E93" w:rsidRPr="002C5E93">
        <w:t xml:space="preserve"> DfE SEN</w:t>
      </w:r>
      <w:r w:rsidR="00B03012">
        <w:t>D</w:t>
      </w:r>
      <w:r w:rsidR="009D18CB">
        <w:t xml:space="preserve"> regional adviser</w:t>
      </w:r>
      <w:r w:rsidR="002C5E93" w:rsidRPr="002C5E93">
        <w:t xml:space="preserve"> team</w:t>
      </w:r>
      <w:r w:rsidR="00A04590">
        <w:t xml:space="preserve"> and NHS England</w:t>
      </w:r>
      <w:r w:rsidR="002C5E93" w:rsidRPr="002C5E93">
        <w:t>.</w:t>
      </w:r>
    </w:p>
    <w:p w14:paraId="11F18E0B" w14:textId="4AD64B6C" w:rsidR="00594507" w:rsidRPr="002C5E93" w:rsidRDefault="00861EFD" w:rsidP="006A3596">
      <w:pPr>
        <w:spacing w:after="100"/>
      </w:pPr>
      <w:r>
        <w:t>4</w:t>
      </w:r>
      <w:r w:rsidR="00594507">
        <w:t xml:space="preserve">. </w:t>
      </w:r>
      <w:r w:rsidR="00594507" w:rsidRPr="00941AAF">
        <w:rPr>
          <w:b/>
        </w:rPr>
        <w:t>Funding</w:t>
      </w:r>
      <w:r w:rsidR="00594507">
        <w:t xml:space="preserve"> – </w:t>
      </w:r>
      <w:r w:rsidR="00594507" w:rsidRPr="00594507">
        <w:t xml:space="preserve">LAs and CCGs will be reimbursed for reasonable costs incurred in taking part in the </w:t>
      </w:r>
      <w:r w:rsidR="00D20AA0">
        <w:t xml:space="preserve">national </w:t>
      </w:r>
      <w:r w:rsidR="00594507" w:rsidRPr="00594507">
        <w:t>trial up to the total value of £4,000 per case</w:t>
      </w:r>
      <w:r w:rsidR="00D20AA0">
        <w:t xml:space="preserve"> if the appeal was registered before 31 August </w:t>
      </w:r>
      <w:r w:rsidR="00266A85">
        <w:t>2021. Further</w:t>
      </w:r>
      <w:r w:rsidR="00594507">
        <w:t xml:space="preserve"> information is available </w:t>
      </w:r>
      <w:hyperlink r:id="rId13" w:history="1">
        <w:r w:rsidR="00594507" w:rsidRPr="00266A85">
          <w:rPr>
            <w:rStyle w:val="Hyperlink"/>
          </w:rPr>
          <w:t>online</w:t>
        </w:r>
      </w:hyperlink>
      <w:r w:rsidR="00594507">
        <w:t>.</w:t>
      </w:r>
    </w:p>
    <w:sectPr w:rsidR="00594507" w:rsidRPr="002C5E93" w:rsidSect="00941AAF">
      <w:headerReference w:type="default" r:id="rId14"/>
      <w:pgSz w:w="11906" w:h="16838"/>
      <w:pgMar w:top="993" w:right="849" w:bottom="426" w:left="993" w:header="14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6457FE" w14:textId="77777777" w:rsidR="00B87642" w:rsidRDefault="00B87642" w:rsidP="00C60986">
      <w:pPr>
        <w:spacing w:after="0" w:line="240" w:lineRule="auto"/>
      </w:pPr>
      <w:r>
        <w:separator/>
      </w:r>
    </w:p>
  </w:endnote>
  <w:endnote w:type="continuationSeparator" w:id="0">
    <w:p w14:paraId="1257EF50" w14:textId="77777777" w:rsidR="00B87642" w:rsidRDefault="00B87642" w:rsidP="00C609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EFCDC9" w14:textId="77777777" w:rsidR="00B87642" w:rsidRDefault="00B87642" w:rsidP="00C60986">
      <w:pPr>
        <w:spacing w:after="0" w:line="240" w:lineRule="auto"/>
      </w:pPr>
      <w:r>
        <w:separator/>
      </w:r>
    </w:p>
  </w:footnote>
  <w:footnote w:type="continuationSeparator" w:id="0">
    <w:p w14:paraId="42502642" w14:textId="77777777" w:rsidR="00B87642" w:rsidRDefault="00B87642" w:rsidP="00C609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FBE6AA" w14:textId="6EDC86A6" w:rsidR="00C60986" w:rsidRDefault="00367100">
    <w:pPr>
      <w:pStyle w:val="Header"/>
    </w:pPr>
    <w:r>
      <w:ptab w:relativeTo="margin" w:alignment="center" w:leader="none"/>
    </w:r>
    <w:r>
      <w:ptab w:relativeTo="margin" w:alignment="right" w:leader="none"/>
    </w:r>
    <w:r>
      <w:t xml:space="preserve">Updated: </w:t>
    </w:r>
    <w:r w:rsidR="00D20AA0">
      <w:t>01 September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142C4"/>
    <w:multiLevelType w:val="hybridMultilevel"/>
    <w:tmpl w:val="72EE8466"/>
    <w:lvl w:ilvl="0" w:tplc="0809000F">
      <w:start w:val="1"/>
      <w:numFmt w:val="decimal"/>
      <w:lvlText w:val="%1."/>
      <w:lvlJc w:val="left"/>
      <w:pPr>
        <w:tabs>
          <w:tab w:val="num" w:pos="720"/>
        </w:tabs>
        <w:ind w:left="720" w:hanging="360"/>
      </w:pPr>
      <w:rPr>
        <w:rFonts w:hint="default"/>
      </w:rPr>
    </w:lvl>
    <w:lvl w:ilvl="1" w:tplc="34E22CCC">
      <w:start w:val="1"/>
      <w:numFmt w:val="decimal"/>
      <w:lvlText w:val="%2."/>
      <w:lvlJc w:val="left"/>
      <w:pPr>
        <w:tabs>
          <w:tab w:val="num" w:pos="1494"/>
        </w:tabs>
        <w:ind w:left="1494" w:hanging="360"/>
      </w:pPr>
    </w:lvl>
    <w:lvl w:ilvl="2" w:tplc="E50827DA" w:tentative="1">
      <w:start w:val="1"/>
      <w:numFmt w:val="bullet"/>
      <w:lvlText w:val="•"/>
      <w:lvlJc w:val="left"/>
      <w:pPr>
        <w:tabs>
          <w:tab w:val="num" w:pos="2160"/>
        </w:tabs>
        <w:ind w:left="2160" w:hanging="360"/>
      </w:pPr>
      <w:rPr>
        <w:rFonts w:ascii="Arial" w:hAnsi="Arial" w:hint="default"/>
      </w:rPr>
    </w:lvl>
    <w:lvl w:ilvl="3" w:tplc="5A363E38" w:tentative="1">
      <w:start w:val="1"/>
      <w:numFmt w:val="bullet"/>
      <w:lvlText w:val="•"/>
      <w:lvlJc w:val="left"/>
      <w:pPr>
        <w:tabs>
          <w:tab w:val="num" w:pos="2880"/>
        </w:tabs>
        <w:ind w:left="2880" w:hanging="360"/>
      </w:pPr>
      <w:rPr>
        <w:rFonts w:ascii="Arial" w:hAnsi="Arial" w:hint="default"/>
      </w:rPr>
    </w:lvl>
    <w:lvl w:ilvl="4" w:tplc="62140CA6" w:tentative="1">
      <w:start w:val="1"/>
      <w:numFmt w:val="bullet"/>
      <w:lvlText w:val="•"/>
      <w:lvlJc w:val="left"/>
      <w:pPr>
        <w:tabs>
          <w:tab w:val="num" w:pos="3600"/>
        </w:tabs>
        <w:ind w:left="3600" w:hanging="360"/>
      </w:pPr>
      <w:rPr>
        <w:rFonts w:ascii="Arial" w:hAnsi="Arial" w:hint="default"/>
      </w:rPr>
    </w:lvl>
    <w:lvl w:ilvl="5" w:tplc="B74419EC" w:tentative="1">
      <w:start w:val="1"/>
      <w:numFmt w:val="bullet"/>
      <w:lvlText w:val="•"/>
      <w:lvlJc w:val="left"/>
      <w:pPr>
        <w:tabs>
          <w:tab w:val="num" w:pos="4320"/>
        </w:tabs>
        <w:ind w:left="4320" w:hanging="360"/>
      </w:pPr>
      <w:rPr>
        <w:rFonts w:ascii="Arial" w:hAnsi="Arial" w:hint="default"/>
      </w:rPr>
    </w:lvl>
    <w:lvl w:ilvl="6" w:tplc="F000CACA" w:tentative="1">
      <w:start w:val="1"/>
      <w:numFmt w:val="bullet"/>
      <w:lvlText w:val="•"/>
      <w:lvlJc w:val="left"/>
      <w:pPr>
        <w:tabs>
          <w:tab w:val="num" w:pos="5040"/>
        </w:tabs>
        <w:ind w:left="5040" w:hanging="360"/>
      </w:pPr>
      <w:rPr>
        <w:rFonts w:ascii="Arial" w:hAnsi="Arial" w:hint="default"/>
      </w:rPr>
    </w:lvl>
    <w:lvl w:ilvl="7" w:tplc="510CD028" w:tentative="1">
      <w:start w:val="1"/>
      <w:numFmt w:val="bullet"/>
      <w:lvlText w:val="•"/>
      <w:lvlJc w:val="left"/>
      <w:pPr>
        <w:tabs>
          <w:tab w:val="num" w:pos="5760"/>
        </w:tabs>
        <w:ind w:left="5760" w:hanging="360"/>
      </w:pPr>
      <w:rPr>
        <w:rFonts w:ascii="Arial" w:hAnsi="Arial" w:hint="default"/>
      </w:rPr>
    </w:lvl>
    <w:lvl w:ilvl="8" w:tplc="38D837B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2" w15:restartNumberingAfterBreak="0">
    <w:nsid w:val="211C7605"/>
    <w:multiLevelType w:val="multilevel"/>
    <w:tmpl w:val="C4D4770A"/>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3" w15:restartNumberingAfterBreak="0">
    <w:nsid w:val="250029B4"/>
    <w:multiLevelType w:val="hybridMultilevel"/>
    <w:tmpl w:val="50F06AAC"/>
    <w:lvl w:ilvl="0" w:tplc="2E5868EA">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5" w15:restartNumberingAfterBreak="0">
    <w:nsid w:val="550C6648"/>
    <w:multiLevelType w:val="hybridMultilevel"/>
    <w:tmpl w:val="2B42E940"/>
    <w:lvl w:ilvl="0" w:tplc="B9F46FF6">
      <w:start w:val="1"/>
      <w:numFmt w:val="bullet"/>
      <w:lvlText w:val=""/>
      <w:lvlJc w:val="left"/>
      <w:pPr>
        <w:tabs>
          <w:tab w:val="num" w:pos="720"/>
        </w:tabs>
        <w:ind w:left="720" w:hanging="360"/>
      </w:pPr>
      <w:rPr>
        <w:rFonts w:ascii="Wingdings" w:hAnsi="Wingdings" w:hint="default"/>
      </w:rPr>
    </w:lvl>
    <w:lvl w:ilvl="1" w:tplc="A9BE494C" w:tentative="1">
      <w:start w:val="1"/>
      <w:numFmt w:val="bullet"/>
      <w:lvlText w:val=""/>
      <w:lvlJc w:val="left"/>
      <w:pPr>
        <w:tabs>
          <w:tab w:val="num" w:pos="1440"/>
        </w:tabs>
        <w:ind w:left="1440" w:hanging="360"/>
      </w:pPr>
      <w:rPr>
        <w:rFonts w:ascii="Wingdings" w:hAnsi="Wingdings" w:hint="default"/>
      </w:rPr>
    </w:lvl>
    <w:lvl w:ilvl="2" w:tplc="6B1EE23C" w:tentative="1">
      <w:start w:val="1"/>
      <w:numFmt w:val="bullet"/>
      <w:lvlText w:val=""/>
      <w:lvlJc w:val="left"/>
      <w:pPr>
        <w:tabs>
          <w:tab w:val="num" w:pos="2160"/>
        </w:tabs>
        <w:ind w:left="2160" w:hanging="360"/>
      </w:pPr>
      <w:rPr>
        <w:rFonts w:ascii="Wingdings" w:hAnsi="Wingdings" w:hint="default"/>
      </w:rPr>
    </w:lvl>
    <w:lvl w:ilvl="3" w:tplc="C07CD192" w:tentative="1">
      <w:start w:val="1"/>
      <w:numFmt w:val="bullet"/>
      <w:lvlText w:val=""/>
      <w:lvlJc w:val="left"/>
      <w:pPr>
        <w:tabs>
          <w:tab w:val="num" w:pos="2880"/>
        </w:tabs>
        <w:ind w:left="2880" w:hanging="360"/>
      </w:pPr>
      <w:rPr>
        <w:rFonts w:ascii="Wingdings" w:hAnsi="Wingdings" w:hint="default"/>
      </w:rPr>
    </w:lvl>
    <w:lvl w:ilvl="4" w:tplc="75BE9E3E" w:tentative="1">
      <w:start w:val="1"/>
      <w:numFmt w:val="bullet"/>
      <w:lvlText w:val=""/>
      <w:lvlJc w:val="left"/>
      <w:pPr>
        <w:tabs>
          <w:tab w:val="num" w:pos="3600"/>
        </w:tabs>
        <w:ind w:left="3600" w:hanging="360"/>
      </w:pPr>
      <w:rPr>
        <w:rFonts w:ascii="Wingdings" w:hAnsi="Wingdings" w:hint="default"/>
      </w:rPr>
    </w:lvl>
    <w:lvl w:ilvl="5" w:tplc="5E823824" w:tentative="1">
      <w:start w:val="1"/>
      <w:numFmt w:val="bullet"/>
      <w:lvlText w:val=""/>
      <w:lvlJc w:val="left"/>
      <w:pPr>
        <w:tabs>
          <w:tab w:val="num" w:pos="4320"/>
        </w:tabs>
        <w:ind w:left="4320" w:hanging="360"/>
      </w:pPr>
      <w:rPr>
        <w:rFonts w:ascii="Wingdings" w:hAnsi="Wingdings" w:hint="default"/>
      </w:rPr>
    </w:lvl>
    <w:lvl w:ilvl="6" w:tplc="39222A36" w:tentative="1">
      <w:start w:val="1"/>
      <w:numFmt w:val="bullet"/>
      <w:lvlText w:val=""/>
      <w:lvlJc w:val="left"/>
      <w:pPr>
        <w:tabs>
          <w:tab w:val="num" w:pos="5040"/>
        </w:tabs>
        <w:ind w:left="5040" w:hanging="360"/>
      </w:pPr>
      <w:rPr>
        <w:rFonts w:ascii="Wingdings" w:hAnsi="Wingdings" w:hint="default"/>
      </w:rPr>
    </w:lvl>
    <w:lvl w:ilvl="7" w:tplc="CD62C36A" w:tentative="1">
      <w:start w:val="1"/>
      <w:numFmt w:val="bullet"/>
      <w:lvlText w:val=""/>
      <w:lvlJc w:val="left"/>
      <w:pPr>
        <w:tabs>
          <w:tab w:val="num" w:pos="5760"/>
        </w:tabs>
        <w:ind w:left="5760" w:hanging="360"/>
      </w:pPr>
      <w:rPr>
        <w:rFonts w:ascii="Wingdings" w:hAnsi="Wingdings" w:hint="default"/>
      </w:rPr>
    </w:lvl>
    <w:lvl w:ilvl="8" w:tplc="5E2C32FE"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D320904"/>
    <w:multiLevelType w:val="hybridMultilevel"/>
    <w:tmpl w:val="25DAA182"/>
    <w:lvl w:ilvl="0" w:tplc="7A38307A">
      <w:start w:val="1"/>
      <w:numFmt w:val="bullet"/>
      <w:lvlText w:val="•"/>
      <w:lvlJc w:val="left"/>
      <w:pPr>
        <w:tabs>
          <w:tab w:val="num" w:pos="720"/>
        </w:tabs>
        <w:ind w:left="720" w:hanging="360"/>
      </w:pPr>
      <w:rPr>
        <w:rFonts w:ascii="Arial" w:hAnsi="Arial" w:hint="default"/>
      </w:rPr>
    </w:lvl>
    <w:lvl w:ilvl="1" w:tplc="0809000F">
      <w:start w:val="1"/>
      <w:numFmt w:val="decimal"/>
      <w:lvlText w:val="%2."/>
      <w:lvlJc w:val="left"/>
      <w:pPr>
        <w:tabs>
          <w:tab w:val="num" w:pos="1494"/>
        </w:tabs>
        <w:ind w:left="1494" w:hanging="360"/>
      </w:pPr>
    </w:lvl>
    <w:lvl w:ilvl="2" w:tplc="E50827DA" w:tentative="1">
      <w:start w:val="1"/>
      <w:numFmt w:val="bullet"/>
      <w:lvlText w:val="•"/>
      <w:lvlJc w:val="left"/>
      <w:pPr>
        <w:tabs>
          <w:tab w:val="num" w:pos="2160"/>
        </w:tabs>
        <w:ind w:left="2160" w:hanging="360"/>
      </w:pPr>
      <w:rPr>
        <w:rFonts w:ascii="Arial" w:hAnsi="Arial" w:hint="default"/>
      </w:rPr>
    </w:lvl>
    <w:lvl w:ilvl="3" w:tplc="5A363E38" w:tentative="1">
      <w:start w:val="1"/>
      <w:numFmt w:val="bullet"/>
      <w:lvlText w:val="•"/>
      <w:lvlJc w:val="left"/>
      <w:pPr>
        <w:tabs>
          <w:tab w:val="num" w:pos="2880"/>
        </w:tabs>
        <w:ind w:left="2880" w:hanging="360"/>
      </w:pPr>
      <w:rPr>
        <w:rFonts w:ascii="Arial" w:hAnsi="Arial" w:hint="default"/>
      </w:rPr>
    </w:lvl>
    <w:lvl w:ilvl="4" w:tplc="62140CA6" w:tentative="1">
      <w:start w:val="1"/>
      <w:numFmt w:val="bullet"/>
      <w:lvlText w:val="•"/>
      <w:lvlJc w:val="left"/>
      <w:pPr>
        <w:tabs>
          <w:tab w:val="num" w:pos="3600"/>
        </w:tabs>
        <w:ind w:left="3600" w:hanging="360"/>
      </w:pPr>
      <w:rPr>
        <w:rFonts w:ascii="Arial" w:hAnsi="Arial" w:hint="default"/>
      </w:rPr>
    </w:lvl>
    <w:lvl w:ilvl="5" w:tplc="B74419EC" w:tentative="1">
      <w:start w:val="1"/>
      <w:numFmt w:val="bullet"/>
      <w:lvlText w:val="•"/>
      <w:lvlJc w:val="left"/>
      <w:pPr>
        <w:tabs>
          <w:tab w:val="num" w:pos="4320"/>
        </w:tabs>
        <w:ind w:left="4320" w:hanging="360"/>
      </w:pPr>
      <w:rPr>
        <w:rFonts w:ascii="Arial" w:hAnsi="Arial" w:hint="default"/>
      </w:rPr>
    </w:lvl>
    <w:lvl w:ilvl="6" w:tplc="F000CACA" w:tentative="1">
      <w:start w:val="1"/>
      <w:numFmt w:val="bullet"/>
      <w:lvlText w:val="•"/>
      <w:lvlJc w:val="left"/>
      <w:pPr>
        <w:tabs>
          <w:tab w:val="num" w:pos="5040"/>
        </w:tabs>
        <w:ind w:left="5040" w:hanging="360"/>
      </w:pPr>
      <w:rPr>
        <w:rFonts w:ascii="Arial" w:hAnsi="Arial" w:hint="default"/>
      </w:rPr>
    </w:lvl>
    <w:lvl w:ilvl="7" w:tplc="510CD028" w:tentative="1">
      <w:start w:val="1"/>
      <w:numFmt w:val="bullet"/>
      <w:lvlText w:val="•"/>
      <w:lvlJc w:val="left"/>
      <w:pPr>
        <w:tabs>
          <w:tab w:val="num" w:pos="5760"/>
        </w:tabs>
        <w:ind w:left="5760" w:hanging="360"/>
      </w:pPr>
      <w:rPr>
        <w:rFonts w:ascii="Arial" w:hAnsi="Arial" w:hint="default"/>
      </w:rPr>
    </w:lvl>
    <w:lvl w:ilvl="8" w:tplc="38D837B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60142D11"/>
    <w:multiLevelType w:val="hybridMultilevel"/>
    <w:tmpl w:val="4E767C50"/>
    <w:lvl w:ilvl="0" w:tplc="A52ABCA6">
      <w:start w:val="1"/>
      <w:numFmt w:val="bullet"/>
      <w:lvlText w:val="•"/>
      <w:lvlJc w:val="left"/>
      <w:pPr>
        <w:tabs>
          <w:tab w:val="num" w:pos="720"/>
        </w:tabs>
        <w:ind w:left="720" w:hanging="360"/>
      </w:pPr>
      <w:rPr>
        <w:rFonts w:ascii="Arial" w:hAnsi="Arial" w:hint="default"/>
      </w:rPr>
    </w:lvl>
    <w:lvl w:ilvl="1" w:tplc="C9B83B36" w:tentative="1">
      <w:start w:val="1"/>
      <w:numFmt w:val="bullet"/>
      <w:lvlText w:val="•"/>
      <w:lvlJc w:val="left"/>
      <w:pPr>
        <w:tabs>
          <w:tab w:val="num" w:pos="1440"/>
        </w:tabs>
        <w:ind w:left="1440" w:hanging="360"/>
      </w:pPr>
      <w:rPr>
        <w:rFonts w:ascii="Arial" w:hAnsi="Arial" w:hint="default"/>
      </w:rPr>
    </w:lvl>
    <w:lvl w:ilvl="2" w:tplc="D7021A90" w:tentative="1">
      <w:start w:val="1"/>
      <w:numFmt w:val="bullet"/>
      <w:lvlText w:val="•"/>
      <w:lvlJc w:val="left"/>
      <w:pPr>
        <w:tabs>
          <w:tab w:val="num" w:pos="2160"/>
        </w:tabs>
        <w:ind w:left="2160" w:hanging="360"/>
      </w:pPr>
      <w:rPr>
        <w:rFonts w:ascii="Arial" w:hAnsi="Arial" w:hint="default"/>
      </w:rPr>
    </w:lvl>
    <w:lvl w:ilvl="3" w:tplc="55EE0862" w:tentative="1">
      <w:start w:val="1"/>
      <w:numFmt w:val="bullet"/>
      <w:lvlText w:val="•"/>
      <w:lvlJc w:val="left"/>
      <w:pPr>
        <w:tabs>
          <w:tab w:val="num" w:pos="2880"/>
        </w:tabs>
        <w:ind w:left="2880" w:hanging="360"/>
      </w:pPr>
      <w:rPr>
        <w:rFonts w:ascii="Arial" w:hAnsi="Arial" w:hint="default"/>
      </w:rPr>
    </w:lvl>
    <w:lvl w:ilvl="4" w:tplc="14346BAE" w:tentative="1">
      <w:start w:val="1"/>
      <w:numFmt w:val="bullet"/>
      <w:lvlText w:val="•"/>
      <w:lvlJc w:val="left"/>
      <w:pPr>
        <w:tabs>
          <w:tab w:val="num" w:pos="3600"/>
        </w:tabs>
        <w:ind w:left="3600" w:hanging="360"/>
      </w:pPr>
      <w:rPr>
        <w:rFonts w:ascii="Arial" w:hAnsi="Arial" w:hint="default"/>
      </w:rPr>
    </w:lvl>
    <w:lvl w:ilvl="5" w:tplc="7D86FC0E" w:tentative="1">
      <w:start w:val="1"/>
      <w:numFmt w:val="bullet"/>
      <w:lvlText w:val="•"/>
      <w:lvlJc w:val="left"/>
      <w:pPr>
        <w:tabs>
          <w:tab w:val="num" w:pos="4320"/>
        </w:tabs>
        <w:ind w:left="4320" w:hanging="360"/>
      </w:pPr>
      <w:rPr>
        <w:rFonts w:ascii="Arial" w:hAnsi="Arial" w:hint="default"/>
      </w:rPr>
    </w:lvl>
    <w:lvl w:ilvl="6" w:tplc="2C343532" w:tentative="1">
      <w:start w:val="1"/>
      <w:numFmt w:val="bullet"/>
      <w:lvlText w:val="•"/>
      <w:lvlJc w:val="left"/>
      <w:pPr>
        <w:tabs>
          <w:tab w:val="num" w:pos="5040"/>
        </w:tabs>
        <w:ind w:left="5040" w:hanging="360"/>
      </w:pPr>
      <w:rPr>
        <w:rFonts w:ascii="Arial" w:hAnsi="Arial" w:hint="default"/>
      </w:rPr>
    </w:lvl>
    <w:lvl w:ilvl="7" w:tplc="4414252C" w:tentative="1">
      <w:start w:val="1"/>
      <w:numFmt w:val="bullet"/>
      <w:lvlText w:val="•"/>
      <w:lvlJc w:val="left"/>
      <w:pPr>
        <w:tabs>
          <w:tab w:val="num" w:pos="5760"/>
        </w:tabs>
        <w:ind w:left="5760" w:hanging="360"/>
      </w:pPr>
      <w:rPr>
        <w:rFonts w:ascii="Arial" w:hAnsi="Arial" w:hint="default"/>
      </w:rPr>
    </w:lvl>
    <w:lvl w:ilvl="8" w:tplc="7C961B5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674C2359"/>
    <w:multiLevelType w:val="hybridMultilevel"/>
    <w:tmpl w:val="856AB0EC"/>
    <w:lvl w:ilvl="0" w:tplc="DC24F990">
      <w:start w:val="1"/>
      <w:numFmt w:val="bullet"/>
      <w:lvlText w:val=""/>
      <w:lvlJc w:val="left"/>
      <w:pPr>
        <w:tabs>
          <w:tab w:val="num" w:pos="720"/>
        </w:tabs>
        <w:ind w:left="720" w:hanging="360"/>
      </w:pPr>
      <w:rPr>
        <w:rFonts w:ascii="Wingdings" w:hAnsi="Wingdings" w:hint="default"/>
      </w:rPr>
    </w:lvl>
    <w:lvl w:ilvl="1" w:tplc="B1B0428E" w:tentative="1">
      <w:start w:val="1"/>
      <w:numFmt w:val="bullet"/>
      <w:lvlText w:val=""/>
      <w:lvlJc w:val="left"/>
      <w:pPr>
        <w:tabs>
          <w:tab w:val="num" w:pos="1440"/>
        </w:tabs>
        <w:ind w:left="1440" w:hanging="360"/>
      </w:pPr>
      <w:rPr>
        <w:rFonts w:ascii="Wingdings" w:hAnsi="Wingdings" w:hint="default"/>
      </w:rPr>
    </w:lvl>
    <w:lvl w:ilvl="2" w:tplc="91120A7C" w:tentative="1">
      <w:start w:val="1"/>
      <w:numFmt w:val="bullet"/>
      <w:lvlText w:val=""/>
      <w:lvlJc w:val="left"/>
      <w:pPr>
        <w:tabs>
          <w:tab w:val="num" w:pos="2160"/>
        </w:tabs>
        <w:ind w:left="2160" w:hanging="360"/>
      </w:pPr>
      <w:rPr>
        <w:rFonts w:ascii="Wingdings" w:hAnsi="Wingdings" w:hint="default"/>
      </w:rPr>
    </w:lvl>
    <w:lvl w:ilvl="3" w:tplc="880A7F4E" w:tentative="1">
      <w:start w:val="1"/>
      <w:numFmt w:val="bullet"/>
      <w:lvlText w:val=""/>
      <w:lvlJc w:val="left"/>
      <w:pPr>
        <w:tabs>
          <w:tab w:val="num" w:pos="2880"/>
        </w:tabs>
        <w:ind w:left="2880" w:hanging="360"/>
      </w:pPr>
      <w:rPr>
        <w:rFonts w:ascii="Wingdings" w:hAnsi="Wingdings" w:hint="default"/>
      </w:rPr>
    </w:lvl>
    <w:lvl w:ilvl="4" w:tplc="7624D626" w:tentative="1">
      <w:start w:val="1"/>
      <w:numFmt w:val="bullet"/>
      <w:lvlText w:val=""/>
      <w:lvlJc w:val="left"/>
      <w:pPr>
        <w:tabs>
          <w:tab w:val="num" w:pos="3600"/>
        </w:tabs>
        <w:ind w:left="3600" w:hanging="360"/>
      </w:pPr>
      <w:rPr>
        <w:rFonts w:ascii="Wingdings" w:hAnsi="Wingdings" w:hint="default"/>
      </w:rPr>
    </w:lvl>
    <w:lvl w:ilvl="5" w:tplc="244E07E0" w:tentative="1">
      <w:start w:val="1"/>
      <w:numFmt w:val="bullet"/>
      <w:lvlText w:val=""/>
      <w:lvlJc w:val="left"/>
      <w:pPr>
        <w:tabs>
          <w:tab w:val="num" w:pos="4320"/>
        </w:tabs>
        <w:ind w:left="4320" w:hanging="360"/>
      </w:pPr>
      <w:rPr>
        <w:rFonts w:ascii="Wingdings" w:hAnsi="Wingdings" w:hint="default"/>
      </w:rPr>
    </w:lvl>
    <w:lvl w:ilvl="6" w:tplc="90686930" w:tentative="1">
      <w:start w:val="1"/>
      <w:numFmt w:val="bullet"/>
      <w:lvlText w:val=""/>
      <w:lvlJc w:val="left"/>
      <w:pPr>
        <w:tabs>
          <w:tab w:val="num" w:pos="5040"/>
        </w:tabs>
        <w:ind w:left="5040" w:hanging="360"/>
      </w:pPr>
      <w:rPr>
        <w:rFonts w:ascii="Wingdings" w:hAnsi="Wingdings" w:hint="default"/>
      </w:rPr>
    </w:lvl>
    <w:lvl w:ilvl="7" w:tplc="DBDAD83E" w:tentative="1">
      <w:start w:val="1"/>
      <w:numFmt w:val="bullet"/>
      <w:lvlText w:val=""/>
      <w:lvlJc w:val="left"/>
      <w:pPr>
        <w:tabs>
          <w:tab w:val="num" w:pos="5760"/>
        </w:tabs>
        <w:ind w:left="5760" w:hanging="360"/>
      </w:pPr>
      <w:rPr>
        <w:rFonts w:ascii="Wingdings" w:hAnsi="Wingdings" w:hint="default"/>
      </w:rPr>
    </w:lvl>
    <w:lvl w:ilvl="8" w:tplc="3974899E"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1E060FC"/>
    <w:multiLevelType w:val="hybridMultilevel"/>
    <w:tmpl w:val="E550F356"/>
    <w:lvl w:ilvl="0" w:tplc="C442CCA8">
      <w:start w:val="1"/>
      <w:numFmt w:val="bullet"/>
      <w:lvlText w:val="•"/>
      <w:lvlJc w:val="left"/>
      <w:pPr>
        <w:tabs>
          <w:tab w:val="num" w:pos="720"/>
        </w:tabs>
        <w:ind w:left="720" w:hanging="360"/>
      </w:pPr>
      <w:rPr>
        <w:rFonts w:ascii="Arial" w:hAnsi="Arial" w:hint="default"/>
      </w:rPr>
    </w:lvl>
    <w:lvl w:ilvl="1" w:tplc="CCBABB14" w:tentative="1">
      <w:start w:val="1"/>
      <w:numFmt w:val="bullet"/>
      <w:lvlText w:val="•"/>
      <w:lvlJc w:val="left"/>
      <w:pPr>
        <w:tabs>
          <w:tab w:val="num" w:pos="1440"/>
        </w:tabs>
        <w:ind w:left="1440" w:hanging="360"/>
      </w:pPr>
      <w:rPr>
        <w:rFonts w:ascii="Arial" w:hAnsi="Arial" w:hint="default"/>
      </w:rPr>
    </w:lvl>
    <w:lvl w:ilvl="2" w:tplc="75C80DCA" w:tentative="1">
      <w:start w:val="1"/>
      <w:numFmt w:val="bullet"/>
      <w:lvlText w:val="•"/>
      <w:lvlJc w:val="left"/>
      <w:pPr>
        <w:tabs>
          <w:tab w:val="num" w:pos="2160"/>
        </w:tabs>
        <w:ind w:left="2160" w:hanging="360"/>
      </w:pPr>
      <w:rPr>
        <w:rFonts w:ascii="Arial" w:hAnsi="Arial" w:hint="default"/>
      </w:rPr>
    </w:lvl>
    <w:lvl w:ilvl="3" w:tplc="6FF6C228" w:tentative="1">
      <w:start w:val="1"/>
      <w:numFmt w:val="bullet"/>
      <w:lvlText w:val="•"/>
      <w:lvlJc w:val="left"/>
      <w:pPr>
        <w:tabs>
          <w:tab w:val="num" w:pos="2880"/>
        </w:tabs>
        <w:ind w:left="2880" w:hanging="360"/>
      </w:pPr>
      <w:rPr>
        <w:rFonts w:ascii="Arial" w:hAnsi="Arial" w:hint="default"/>
      </w:rPr>
    </w:lvl>
    <w:lvl w:ilvl="4" w:tplc="089ECFEA" w:tentative="1">
      <w:start w:val="1"/>
      <w:numFmt w:val="bullet"/>
      <w:lvlText w:val="•"/>
      <w:lvlJc w:val="left"/>
      <w:pPr>
        <w:tabs>
          <w:tab w:val="num" w:pos="3600"/>
        </w:tabs>
        <w:ind w:left="3600" w:hanging="360"/>
      </w:pPr>
      <w:rPr>
        <w:rFonts w:ascii="Arial" w:hAnsi="Arial" w:hint="default"/>
      </w:rPr>
    </w:lvl>
    <w:lvl w:ilvl="5" w:tplc="BD307D34" w:tentative="1">
      <w:start w:val="1"/>
      <w:numFmt w:val="bullet"/>
      <w:lvlText w:val="•"/>
      <w:lvlJc w:val="left"/>
      <w:pPr>
        <w:tabs>
          <w:tab w:val="num" w:pos="4320"/>
        </w:tabs>
        <w:ind w:left="4320" w:hanging="360"/>
      </w:pPr>
      <w:rPr>
        <w:rFonts w:ascii="Arial" w:hAnsi="Arial" w:hint="default"/>
      </w:rPr>
    </w:lvl>
    <w:lvl w:ilvl="6" w:tplc="AED8396E" w:tentative="1">
      <w:start w:val="1"/>
      <w:numFmt w:val="bullet"/>
      <w:lvlText w:val="•"/>
      <w:lvlJc w:val="left"/>
      <w:pPr>
        <w:tabs>
          <w:tab w:val="num" w:pos="5040"/>
        </w:tabs>
        <w:ind w:left="5040" w:hanging="360"/>
      </w:pPr>
      <w:rPr>
        <w:rFonts w:ascii="Arial" w:hAnsi="Arial" w:hint="default"/>
      </w:rPr>
    </w:lvl>
    <w:lvl w:ilvl="7" w:tplc="A438970C" w:tentative="1">
      <w:start w:val="1"/>
      <w:numFmt w:val="bullet"/>
      <w:lvlText w:val="•"/>
      <w:lvlJc w:val="left"/>
      <w:pPr>
        <w:tabs>
          <w:tab w:val="num" w:pos="5760"/>
        </w:tabs>
        <w:ind w:left="5760" w:hanging="360"/>
      </w:pPr>
      <w:rPr>
        <w:rFonts w:ascii="Arial" w:hAnsi="Arial" w:hint="default"/>
      </w:rPr>
    </w:lvl>
    <w:lvl w:ilvl="8" w:tplc="1A546FE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7BD61828"/>
    <w:multiLevelType w:val="hybridMultilevel"/>
    <w:tmpl w:val="D5A0FE56"/>
    <w:lvl w:ilvl="0" w:tplc="0809000F">
      <w:start w:val="1"/>
      <w:numFmt w:val="decimal"/>
      <w:lvlText w:val="%1."/>
      <w:lvlJc w:val="left"/>
      <w:pPr>
        <w:tabs>
          <w:tab w:val="num" w:pos="1440"/>
        </w:tabs>
        <w:ind w:left="1440" w:hanging="360"/>
      </w:pPr>
      <w:rPr>
        <w:rFonts w:hint="default"/>
      </w:rPr>
    </w:lvl>
    <w:lvl w:ilvl="1" w:tplc="34E22CCC">
      <w:start w:val="1"/>
      <w:numFmt w:val="decimal"/>
      <w:lvlText w:val="%2."/>
      <w:lvlJc w:val="left"/>
      <w:pPr>
        <w:tabs>
          <w:tab w:val="num" w:pos="2214"/>
        </w:tabs>
        <w:ind w:left="2214" w:hanging="360"/>
      </w:pPr>
    </w:lvl>
    <w:lvl w:ilvl="2" w:tplc="E50827DA" w:tentative="1">
      <w:start w:val="1"/>
      <w:numFmt w:val="bullet"/>
      <w:lvlText w:val="•"/>
      <w:lvlJc w:val="left"/>
      <w:pPr>
        <w:tabs>
          <w:tab w:val="num" w:pos="2880"/>
        </w:tabs>
        <w:ind w:left="2880" w:hanging="360"/>
      </w:pPr>
      <w:rPr>
        <w:rFonts w:ascii="Arial" w:hAnsi="Arial" w:hint="default"/>
      </w:rPr>
    </w:lvl>
    <w:lvl w:ilvl="3" w:tplc="5A363E38" w:tentative="1">
      <w:start w:val="1"/>
      <w:numFmt w:val="bullet"/>
      <w:lvlText w:val="•"/>
      <w:lvlJc w:val="left"/>
      <w:pPr>
        <w:tabs>
          <w:tab w:val="num" w:pos="3600"/>
        </w:tabs>
        <w:ind w:left="3600" w:hanging="360"/>
      </w:pPr>
      <w:rPr>
        <w:rFonts w:ascii="Arial" w:hAnsi="Arial" w:hint="default"/>
      </w:rPr>
    </w:lvl>
    <w:lvl w:ilvl="4" w:tplc="62140CA6" w:tentative="1">
      <w:start w:val="1"/>
      <w:numFmt w:val="bullet"/>
      <w:lvlText w:val="•"/>
      <w:lvlJc w:val="left"/>
      <w:pPr>
        <w:tabs>
          <w:tab w:val="num" w:pos="4320"/>
        </w:tabs>
        <w:ind w:left="4320" w:hanging="360"/>
      </w:pPr>
      <w:rPr>
        <w:rFonts w:ascii="Arial" w:hAnsi="Arial" w:hint="default"/>
      </w:rPr>
    </w:lvl>
    <w:lvl w:ilvl="5" w:tplc="B74419EC" w:tentative="1">
      <w:start w:val="1"/>
      <w:numFmt w:val="bullet"/>
      <w:lvlText w:val="•"/>
      <w:lvlJc w:val="left"/>
      <w:pPr>
        <w:tabs>
          <w:tab w:val="num" w:pos="5040"/>
        </w:tabs>
        <w:ind w:left="5040" w:hanging="360"/>
      </w:pPr>
      <w:rPr>
        <w:rFonts w:ascii="Arial" w:hAnsi="Arial" w:hint="default"/>
      </w:rPr>
    </w:lvl>
    <w:lvl w:ilvl="6" w:tplc="F000CACA" w:tentative="1">
      <w:start w:val="1"/>
      <w:numFmt w:val="bullet"/>
      <w:lvlText w:val="•"/>
      <w:lvlJc w:val="left"/>
      <w:pPr>
        <w:tabs>
          <w:tab w:val="num" w:pos="5760"/>
        </w:tabs>
        <w:ind w:left="5760" w:hanging="360"/>
      </w:pPr>
      <w:rPr>
        <w:rFonts w:ascii="Arial" w:hAnsi="Arial" w:hint="default"/>
      </w:rPr>
    </w:lvl>
    <w:lvl w:ilvl="7" w:tplc="510CD028" w:tentative="1">
      <w:start w:val="1"/>
      <w:numFmt w:val="bullet"/>
      <w:lvlText w:val="•"/>
      <w:lvlJc w:val="left"/>
      <w:pPr>
        <w:tabs>
          <w:tab w:val="num" w:pos="6480"/>
        </w:tabs>
        <w:ind w:left="6480" w:hanging="360"/>
      </w:pPr>
      <w:rPr>
        <w:rFonts w:ascii="Arial" w:hAnsi="Arial" w:hint="default"/>
      </w:rPr>
    </w:lvl>
    <w:lvl w:ilvl="8" w:tplc="38D837B8" w:tentative="1">
      <w:start w:val="1"/>
      <w:numFmt w:val="bullet"/>
      <w:lvlText w:val="•"/>
      <w:lvlJc w:val="left"/>
      <w:pPr>
        <w:tabs>
          <w:tab w:val="num" w:pos="7200"/>
        </w:tabs>
        <w:ind w:left="7200" w:hanging="360"/>
      </w:pPr>
      <w:rPr>
        <w:rFonts w:ascii="Arial" w:hAnsi="Arial" w:hint="default"/>
      </w:rPr>
    </w:lvl>
  </w:abstractNum>
  <w:num w:numId="1">
    <w:abstractNumId w:val="8"/>
  </w:num>
  <w:num w:numId="2">
    <w:abstractNumId w:val="5"/>
  </w:num>
  <w:num w:numId="3">
    <w:abstractNumId w:val="7"/>
  </w:num>
  <w:num w:numId="4">
    <w:abstractNumId w:val="9"/>
  </w:num>
  <w:num w:numId="5">
    <w:abstractNumId w:val="0"/>
  </w:num>
  <w:num w:numId="6">
    <w:abstractNumId w:val="6"/>
  </w:num>
  <w:num w:numId="7">
    <w:abstractNumId w:val="10"/>
  </w:num>
  <w:num w:numId="8">
    <w:abstractNumId w:val="2"/>
  </w:num>
  <w:num w:numId="9">
    <w:abstractNumId w:val="1"/>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986"/>
    <w:rsid w:val="00013701"/>
    <w:rsid w:val="00016982"/>
    <w:rsid w:val="00085299"/>
    <w:rsid w:val="00092909"/>
    <w:rsid w:val="000A4F03"/>
    <w:rsid w:val="000D75C4"/>
    <w:rsid w:val="000E4E97"/>
    <w:rsid w:val="000F561D"/>
    <w:rsid w:val="00112197"/>
    <w:rsid w:val="00156AC4"/>
    <w:rsid w:val="00190CD1"/>
    <w:rsid w:val="001C3881"/>
    <w:rsid w:val="001E1395"/>
    <w:rsid w:val="002403A3"/>
    <w:rsid w:val="002428CF"/>
    <w:rsid w:val="00266A85"/>
    <w:rsid w:val="00281B7D"/>
    <w:rsid w:val="00287507"/>
    <w:rsid w:val="002910C8"/>
    <w:rsid w:val="002B79A3"/>
    <w:rsid w:val="002C5E93"/>
    <w:rsid w:val="002F714A"/>
    <w:rsid w:val="00300270"/>
    <w:rsid w:val="0031550E"/>
    <w:rsid w:val="00347A8B"/>
    <w:rsid w:val="003657F6"/>
    <w:rsid w:val="00367100"/>
    <w:rsid w:val="003735F9"/>
    <w:rsid w:val="00380984"/>
    <w:rsid w:val="003A583E"/>
    <w:rsid w:val="003D15CC"/>
    <w:rsid w:val="003F56B5"/>
    <w:rsid w:val="00411AD4"/>
    <w:rsid w:val="0048389B"/>
    <w:rsid w:val="00484A7E"/>
    <w:rsid w:val="004876CD"/>
    <w:rsid w:val="004A0A76"/>
    <w:rsid w:val="004B05A7"/>
    <w:rsid w:val="004D0439"/>
    <w:rsid w:val="004F30D7"/>
    <w:rsid w:val="005511C6"/>
    <w:rsid w:val="0056471A"/>
    <w:rsid w:val="00567E70"/>
    <w:rsid w:val="0057356F"/>
    <w:rsid w:val="00576986"/>
    <w:rsid w:val="0058454B"/>
    <w:rsid w:val="00593740"/>
    <w:rsid w:val="005938A7"/>
    <w:rsid w:val="00594507"/>
    <w:rsid w:val="005A79CE"/>
    <w:rsid w:val="005C0B31"/>
    <w:rsid w:val="005C4971"/>
    <w:rsid w:val="006062E3"/>
    <w:rsid w:val="006161BC"/>
    <w:rsid w:val="00630626"/>
    <w:rsid w:val="00640590"/>
    <w:rsid w:val="00683BE5"/>
    <w:rsid w:val="006A3596"/>
    <w:rsid w:val="006C2833"/>
    <w:rsid w:val="006E12EC"/>
    <w:rsid w:val="006F03AC"/>
    <w:rsid w:val="00735DAF"/>
    <w:rsid w:val="00756FE8"/>
    <w:rsid w:val="00771675"/>
    <w:rsid w:val="007754A5"/>
    <w:rsid w:val="007C2ADB"/>
    <w:rsid w:val="007C32A6"/>
    <w:rsid w:val="007F1DF9"/>
    <w:rsid w:val="00805BA5"/>
    <w:rsid w:val="0081279F"/>
    <w:rsid w:val="00835111"/>
    <w:rsid w:val="00836920"/>
    <w:rsid w:val="00851B8B"/>
    <w:rsid w:val="00861EFD"/>
    <w:rsid w:val="008720E7"/>
    <w:rsid w:val="00883000"/>
    <w:rsid w:val="008862EF"/>
    <w:rsid w:val="00892DFB"/>
    <w:rsid w:val="008E3409"/>
    <w:rsid w:val="00902087"/>
    <w:rsid w:val="00902708"/>
    <w:rsid w:val="00917344"/>
    <w:rsid w:val="00941AAF"/>
    <w:rsid w:val="00967DC1"/>
    <w:rsid w:val="00982557"/>
    <w:rsid w:val="009B1382"/>
    <w:rsid w:val="009D0C15"/>
    <w:rsid w:val="009D18CB"/>
    <w:rsid w:val="009F58F8"/>
    <w:rsid w:val="00A04590"/>
    <w:rsid w:val="00A141D2"/>
    <w:rsid w:val="00A61FA7"/>
    <w:rsid w:val="00A6778B"/>
    <w:rsid w:val="00A769C0"/>
    <w:rsid w:val="00AB745A"/>
    <w:rsid w:val="00AF132D"/>
    <w:rsid w:val="00B03012"/>
    <w:rsid w:val="00B17AF2"/>
    <w:rsid w:val="00B5190A"/>
    <w:rsid w:val="00B53957"/>
    <w:rsid w:val="00B63EEF"/>
    <w:rsid w:val="00B87642"/>
    <w:rsid w:val="00BB6CC8"/>
    <w:rsid w:val="00BD052D"/>
    <w:rsid w:val="00C06ABA"/>
    <w:rsid w:val="00C140CF"/>
    <w:rsid w:val="00C47A18"/>
    <w:rsid w:val="00C60986"/>
    <w:rsid w:val="00C84FDA"/>
    <w:rsid w:val="00CB0489"/>
    <w:rsid w:val="00CB06BA"/>
    <w:rsid w:val="00CC2A31"/>
    <w:rsid w:val="00CD390D"/>
    <w:rsid w:val="00CD6DFA"/>
    <w:rsid w:val="00CF06A4"/>
    <w:rsid w:val="00CF1CAC"/>
    <w:rsid w:val="00CF723B"/>
    <w:rsid w:val="00D16468"/>
    <w:rsid w:val="00D20AA0"/>
    <w:rsid w:val="00D40CFE"/>
    <w:rsid w:val="00D53F23"/>
    <w:rsid w:val="00D54954"/>
    <w:rsid w:val="00D93C5F"/>
    <w:rsid w:val="00DD0607"/>
    <w:rsid w:val="00DF317A"/>
    <w:rsid w:val="00DF60B5"/>
    <w:rsid w:val="00E02F06"/>
    <w:rsid w:val="00E21D1C"/>
    <w:rsid w:val="00E34AAC"/>
    <w:rsid w:val="00E80098"/>
    <w:rsid w:val="00E8265A"/>
    <w:rsid w:val="00E83643"/>
    <w:rsid w:val="00EB5ED3"/>
    <w:rsid w:val="00ED1A66"/>
    <w:rsid w:val="00F02CDD"/>
    <w:rsid w:val="00F05C29"/>
    <w:rsid w:val="00F1051C"/>
    <w:rsid w:val="00F31CEC"/>
    <w:rsid w:val="00F4168D"/>
    <w:rsid w:val="00F8278D"/>
    <w:rsid w:val="00F90ACC"/>
    <w:rsid w:val="00FA042F"/>
    <w:rsid w:val="00FA63D6"/>
    <w:rsid w:val="00FC4CB3"/>
    <w:rsid w:val="00FC7D7A"/>
    <w:rsid w:val="00FE09B6"/>
    <w:rsid w:val="00FE5819"/>
    <w:rsid w:val="00FE67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D3319B4"/>
  <w15:chartTrackingRefBased/>
  <w15:docId w15:val="{331AF828-3E4C-4DF7-9CDD-F8EC83CD0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1"/>
        <w:szCs w:val="21"/>
        <w:lang w:val="en-GB"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0098"/>
  </w:style>
  <w:style w:type="paragraph" w:styleId="Heading1">
    <w:name w:val="heading 1"/>
    <w:basedOn w:val="Normal"/>
    <w:next w:val="Normal"/>
    <w:link w:val="Heading1Char"/>
    <w:uiPriority w:val="9"/>
    <w:qFormat/>
    <w:rsid w:val="00E80098"/>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rPr>
  </w:style>
  <w:style w:type="paragraph" w:styleId="Heading2">
    <w:name w:val="heading 2"/>
    <w:basedOn w:val="Normal"/>
    <w:next w:val="Normal"/>
    <w:link w:val="Heading2Char"/>
    <w:uiPriority w:val="9"/>
    <w:semiHidden/>
    <w:unhideWhenUsed/>
    <w:qFormat/>
    <w:rsid w:val="00E80098"/>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rPr>
  </w:style>
  <w:style w:type="paragraph" w:styleId="Heading3">
    <w:name w:val="heading 3"/>
    <w:basedOn w:val="Normal"/>
    <w:next w:val="Normal"/>
    <w:link w:val="Heading3Char"/>
    <w:uiPriority w:val="9"/>
    <w:semiHidden/>
    <w:unhideWhenUsed/>
    <w:qFormat/>
    <w:rsid w:val="00E80098"/>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rsid w:val="00E80098"/>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E80098"/>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E80098"/>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E80098"/>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E80098"/>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E80098"/>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09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0986"/>
  </w:style>
  <w:style w:type="paragraph" w:styleId="Footer">
    <w:name w:val="footer"/>
    <w:basedOn w:val="Normal"/>
    <w:link w:val="FooterChar"/>
    <w:uiPriority w:val="99"/>
    <w:unhideWhenUsed/>
    <w:rsid w:val="00C609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0986"/>
  </w:style>
  <w:style w:type="paragraph" w:styleId="ListParagraph">
    <w:name w:val="List Paragraph"/>
    <w:basedOn w:val="Normal"/>
    <w:uiPriority w:val="34"/>
    <w:qFormat/>
    <w:rsid w:val="002C5E93"/>
    <w:pPr>
      <w:ind w:left="720"/>
      <w:contextualSpacing/>
    </w:pPr>
  </w:style>
  <w:style w:type="character" w:styleId="Hyperlink">
    <w:name w:val="Hyperlink"/>
    <w:uiPriority w:val="99"/>
    <w:unhideWhenUsed/>
    <w:rsid w:val="002C5E93"/>
    <w:rPr>
      <w:color w:val="0000FF"/>
      <w:u w:val="single"/>
    </w:rPr>
  </w:style>
  <w:style w:type="paragraph" w:styleId="BalloonText">
    <w:name w:val="Balloon Text"/>
    <w:basedOn w:val="Normal"/>
    <w:link w:val="BalloonTextChar"/>
    <w:uiPriority w:val="99"/>
    <w:semiHidden/>
    <w:unhideWhenUsed/>
    <w:rsid w:val="00DF60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60B5"/>
    <w:rPr>
      <w:rFonts w:ascii="Segoe UI" w:hAnsi="Segoe UI" w:cs="Segoe UI"/>
      <w:sz w:val="18"/>
      <w:szCs w:val="18"/>
    </w:rPr>
  </w:style>
  <w:style w:type="character" w:styleId="CommentReference">
    <w:name w:val="annotation reference"/>
    <w:basedOn w:val="DefaultParagraphFont"/>
    <w:uiPriority w:val="99"/>
    <w:semiHidden/>
    <w:unhideWhenUsed/>
    <w:rsid w:val="003657F6"/>
    <w:rPr>
      <w:sz w:val="16"/>
      <w:szCs w:val="16"/>
    </w:rPr>
  </w:style>
  <w:style w:type="paragraph" w:styleId="CommentText">
    <w:name w:val="annotation text"/>
    <w:basedOn w:val="Normal"/>
    <w:link w:val="CommentTextChar"/>
    <w:uiPriority w:val="99"/>
    <w:semiHidden/>
    <w:unhideWhenUsed/>
    <w:rsid w:val="003657F6"/>
    <w:pPr>
      <w:spacing w:line="240" w:lineRule="auto"/>
    </w:pPr>
    <w:rPr>
      <w:sz w:val="20"/>
      <w:szCs w:val="20"/>
    </w:rPr>
  </w:style>
  <w:style w:type="character" w:customStyle="1" w:styleId="CommentTextChar">
    <w:name w:val="Comment Text Char"/>
    <w:basedOn w:val="DefaultParagraphFont"/>
    <w:link w:val="CommentText"/>
    <w:uiPriority w:val="99"/>
    <w:semiHidden/>
    <w:rsid w:val="003657F6"/>
    <w:rPr>
      <w:sz w:val="20"/>
      <w:szCs w:val="20"/>
    </w:rPr>
  </w:style>
  <w:style w:type="paragraph" w:styleId="CommentSubject">
    <w:name w:val="annotation subject"/>
    <w:basedOn w:val="CommentText"/>
    <w:next w:val="CommentText"/>
    <w:link w:val="CommentSubjectChar"/>
    <w:uiPriority w:val="99"/>
    <w:semiHidden/>
    <w:unhideWhenUsed/>
    <w:rsid w:val="003657F6"/>
    <w:rPr>
      <w:b/>
      <w:bCs/>
    </w:rPr>
  </w:style>
  <w:style w:type="character" w:customStyle="1" w:styleId="CommentSubjectChar">
    <w:name w:val="Comment Subject Char"/>
    <w:basedOn w:val="CommentTextChar"/>
    <w:link w:val="CommentSubject"/>
    <w:uiPriority w:val="99"/>
    <w:semiHidden/>
    <w:rsid w:val="003657F6"/>
    <w:rPr>
      <w:b/>
      <w:bCs/>
      <w:sz w:val="20"/>
      <w:szCs w:val="20"/>
    </w:rPr>
  </w:style>
  <w:style w:type="paragraph" w:styleId="Revision">
    <w:name w:val="Revision"/>
    <w:hidden/>
    <w:uiPriority w:val="99"/>
    <w:semiHidden/>
    <w:rsid w:val="002403A3"/>
    <w:pPr>
      <w:spacing w:after="0" w:line="240" w:lineRule="auto"/>
    </w:pPr>
  </w:style>
  <w:style w:type="character" w:customStyle="1" w:styleId="UnresolvedMention1">
    <w:name w:val="Unresolved Mention1"/>
    <w:basedOn w:val="DefaultParagraphFont"/>
    <w:uiPriority w:val="99"/>
    <w:semiHidden/>
    <w:unhideWhenUsed/>
    <w:rsid w:val="00F90ACC"/>
    <w:rPr>
      <w:color w:val="808080"/>
      <w:shd w:val="clear" w:color="auto" w:fill="E6E6E6"/>
    </w:rPr>
  </w:style>
  <w:style w:type="character" w:styleId="FollowedHyperlink">
    <w:name w:val="FollowedHyperlink"/>
    <w:basedOn w:val="DefaultParagraphFont"/>
    <w:uiPriority w:val="99"/>
    <w:semiHidden/>
    <w:unhideWhenUsed/>
    <w:rsid w:val="009B1382"/>
    <w:rPr>
      <w:color w:val="954F72" w:themeColor="followedHyperlink"/>
      <w:u w:val="single"/>
    </w:rPr>
  </w:style>
  <w:style w:type="character" w:styleId="UnresolvedMention">
    <w:name w:val="Unresolved Mention"/>
    <w:basedOn w:val="DefaultParagraphFont"/>
    <w:uiPriority w:val="99"/>
    <w:semiHidden/>
    <w:unhideWhenUsed/>
    <w:rsid w:val="0057356F"/>
    <w:rPr>
      <w:color w:val="605E5C"/>
      <w:shd w:val="clear" w:color="auto" w:fill="E1DFDD"/>
    </w:rPr>
  </w:style>
  <w:style w:type="character" w:customStyle="1" w:styleId="Heading1Char">
    <w:name w:val="Heading 1 Char"/>
    <w:basedOn w:val="DefaultParagraphFont"/>
    <w:link w:val="Heading1"/>
    <w:uiPriority w:val="9"/>
    <w:rsid w:val="00E80098"/>
    <w:rPr>
      <w:rFonts w:asciiTheme="majorHAnsi" w:eastAsiaTheme="majorEastAsia" w:hAnsiTheme="majorHAnsi" w:cstheme="majorBidi"/>
      <w:color w:val="2F5496" w:themeColor="accent1" w:themeShade="BF"/>
      <w:sz w:val="36"/>
      <w:szCs w:val="36"/>
    </w:rPr>
  </w:style>
  <w:style w:type="character" w:customStyle="1" w:styleId="Heading2Char">
    <w:name w:val="Heading 2 Char"/>
    <w:basedOn w:val="DefaultParagraphFont"/>
    <w:link w:val="Heading2"/>
    <w:uiPriority w:val="9"/>
    <w:semiHidden/>
    <w:rsid w:val="00E80098"/>
    <w:rPr>
      <w:rFonts w:asciiTheme="majorHAnsi" w:eastAsiaTheme="majorEastAsia" w:hAnsiTheme="majorHAnsi" w:cstheme="majorBidi"/>
      <w:color w:val="2F5496" w:themeColor="accent1" w:themeShade="BF"/>
      <w:sz w:val="28"/>
      <w:szCs w:val="28"/>
    </w:rPr>
  </w:style>
  <w:style w:type="character" w:customStyle="1" w:styleId="Heading3Char">
    <w:name w:val="Heading 3 Char"/>
    <w:basedOn w:val="DefaultParagraphFont"/>
    <w:link w:val="Heading3"/>
    <w:uiPriority w:val="9"/>
    <w:semiHidden/>
    <w:rsid w:val="00E80098"/>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semiHidden/>
    <w:rsid w:val="00E80098"/>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E80098"/>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E80098"/>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E80098"/>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E80098"/>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E80098"/>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E80098"/>
    <w:pPr>
      <w:spacing w:line="240" w:lineRule="auto"/>
    </w:pPr>
    <w:rPr>
      <w:b/>
      <w:bCs/>
      <w:color w:val="404040" w:themeColor="text1" w:themeTint="BF"/>
      <w:sz w:val="20"/>
      <w:szCs w:val="20"/>
    </w:rPr>
  </w:style>
  <w:style w:type="paragraph" w:styleId="Title">
    <w:name w:val="Title"/>
    <w:basedOn w:val="Normal"/>
    <w:next w:val="Normal"/>
    <w:link w:val="TitleChar"/>
    <w:uiPriority w:val="10"/>
    <w:qFormat/>
    <w:rsid w:val="00E80098"/>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character" w:customStyle="1" w:styleId="TitleChar">
    <w:name w:val="Title Char"/>
    <w:basedOn w:val="DefaultParagraphFont"/>
    <w:link w:val="Title"/>
    <w:uiPriority w:val="10"/>
    <w:rsid w:val="00E80098"/>
    <w:rPr>
      <w:rFonts w:asciiTheme="majorHAnsi" w:eastAsiaTheme="majorEastAsia" w:hAnsiTheme="majorHAnsi" w:cstheme="majorBidi"/>
      <w:color w:val="2F5496" w:themeColor="accent1" w:themeShade="BF"/>
      <w:spacing w:val="-7"/>
      <w:sz w:val="80"/>
      <w:szCs w:val="80"/>
    </w:rPr>
  </w:style>
  <w:style w:type="paragraph" w:styleId="Subtitle">
    <w:name w:val="Subtitle"/>
    <w:basedOn w:val="Normal"/>
    <w:next w:val="Normal"/>
    <w:link w:val="SubtitleChar"/>
    <w:uiPriority w:val="11"/>
    <w:qFormat/>
    <w:rsid w:val="00E80098"/>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E80098"/>
    <w:rPr>
      <w:rFonts w:asciiTheme="majorHAnsi" w:eastAsiaTheme="majorEastAsia" w:hAnsiTheme="majorHAnsi" w:cstheme="majorBidi"/>
      <w:color w:val="404040" w:themeColor="text1" w:themeTint="BF"/>
      <w:sz w:val="30"/>
      <w:szCs w:val="30"/>
    </w:rPr>
  </w:style>
  <w:style w:type="character" w:styleId="Strong">
    <w:name w:val="Strong"/>
    <w:basedOn w:val="DefaultParagraphFont"/>
    <w:uiPriority w:val="22"/>
    <w:qFormat/>
    <w:rsid w:val="00E80098"/>
    <w:rPr>
      <w:b/>
      <w:bCs/>
    </w:rPr>
  </w:style>
  <w:style w:type="character" w:styleId="Emphasis">
    <w:name w:val="Emphasis"/>
    <w:basedOn w:val="DefaultParagraphFont"/>
    <w:uiPriority w:val="20"/>
    <w:qFormat/>
    <w:rsid w:val="00E80098"/>
    <w:rPr>
      <w:i/>
      <w:iCs/>
    </w:rPr>
  </w:style>
  <w:style w:type="paragraph" w:styleId="NoSpacing">
    <w:name w:val="No Spacing"/>
    <w:uiPriority w:val="1"/>
    <w:qFormat/>
    <w:rsid w:val="00E80098"/>
    <w:pPr>
      <w:spacing w:after="0" w:line="240" w:lineRule="auto"/>
    </w:pPr>
  </w:style>
  <w:style w:type="paragraph" w:styleId="Quote">
    <w:name w:val="Quote"/>
    <w:basedOn w:val="Normal"/>
    <w:next w:val="Normal"/>
    <w:link w:val="QuoteChar"/>
    <w:uiPriority w:val="29"/>
    <w:qFormat/>
    <w:rsid w:val="00E80098"/>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E80098"/>
    <w:rPr>
      <w:i/>
      <w:iCs/>
    </w:rPr>
  </w:style>
  <w:style w:type="paragraph" w:styleId="IntenseQuote">
    <w:name w:val="Intense Quote"/>
    <w:basedOn w:val="Normal"/>
    <w:next w:val="Normal"/>
    <w:link w:val="IntenseQuoteChar"/>
    <w:uiPriority w:val="30"/>
    <w:qFormat/>
    <w:rsid w:val="00E80098"/>
    <w:pPr>
      <w:spacing w:before="100" w:beforeAutospacing="1" w:after="240"/>
      <w:ind w:left="864" w:right="864"/>
      <w:jc w:val="center"/>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E80098"/>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E80098"/>
    <w:rPr>
      <w:i/>
      <w:iCs/>
      <w:color w:val="595959" w:themeColor="text1" w:themeTint="A6"/>
    </w:rPr>
  </w:style>
  <w:style w:type="character" w:styleId="IntenseEmphasis">
    <w:name w:val="Intense Emphasis"/>
    <w:basedOn w:val="DefaultParagraphFont"/>
    <w:uiPriority w:val="21"/>
    <w:qFormat/>
    <w:rsid w:val="00E80098"/>
    <w:rPr>
      <w:b/>
      <w:bCs/>
      <w:i/>
      <w:iCs/>
    </w:rPr>
  </w:style>
  <w:style w:type="character" w:styleId="SubtleReference">
    <w:name w:val="Subtle Reference"/>
    <w:basedOn w:val="DefaultParagraphFont"/>
    <w:uiPriority w:val="31"/>
    <w:qFormat/>
    <w:rsid w:val="00E80098"/>
    <w:rPr>
      <w:smallCaps/>
      <w:color w:val="404040" w:themeColor="text1" w:themeTint="BF"/>
    </w:rPr>
  </w:style>
  <w:style w:type="character" w:styleId="IntenseReference">
    <w:name w:val="Intense Reference"/>
    <w:basedOn w:val="DefaultParagraphFont"/>
    <w:uiPriority w:val="32"/>
    <w:qFormat/>
    <w:rsid w:val="00E80098"/>
    <w:rPr>
      <w:b/>
      <w:bCs/>
      <w:smallCaps/>
      <w:u w:val="single"/>
    </w:rPr>
  </w:style>
  <w:style w:type="character" w:styleId="BookTitle">
    <w:name w:val="Book Title"/>
    <w:basedOn w:val="DefaultParagraphFont"/>
    <w:uiPriority w:val="33"/>
    <w:qFormat/>
    <w:rsid w:val="00E80098"/>
    <w:rPr>
      <w:b/>
      <w:bCs/>
      <w:smallCaps/>
    </w:rPr>
  </w:style>
  <w:style w:type="paragraph" w:styleId="TOCHeading">
    <w:name w:val="TOC Heading"/>
    <w:basedOn w:val="Heading1"/>
    <w:next w:val="Normal"/>
    <w:uiPriority w:val="39"/>
    <w:semiHidden/>
    <w:unhideWhenUsed/>
    <w:qFormat/>
    <w:rsid w:val="00E80098"/>
    <w:pPr>
      <w:outlineLvl w:val="9"/>
    </w:pPr>
  </w:style>
  <w:style w:type="paragraph" w:customStyle="1" w:styleId="DfESOutNumbered">
    <w:name w:val="DfESOutNumbered"/>
    <w:basedOn w:val="Normal"/>
    <w:link w:val="DfESOutNumberedChar"/>
    <w:rsid w:val="007754A5"/>
    <w:pPr>
      <w:widowControl w:val="0"/>
      <w:numPr>
        <w:numId w:val="9"/>
      </w:numPr>
      <w:overflowPunct w:val="0"/>
      <w:autoSpaceDE w:val="0"/>
      <w:autoSpaceDN w:val="0"/>
      <w:adjustRightInd w:val="0"/>
      <w:spacing w:after="240" w:line="240" w:lineRule="auto"/>
      <w:textAlignment w:val="baseline"/>
    </w:pPr>
    <w:rPr>
      <w:rFonts w:ascii="Arial" w:eastAsia="Times New Roman" w:hAnsi="Arial" w:cs="Arial"/>
      <w:sz w:val="22"/>
      <w:szCs w:val="20"/>
    </w:rPr>
  </w:style>
  <w:style w:type="character" w:customStyle="1" w:styleId="DfESOutNumberedChar">
    <w:name w:val="DfESOutNumbered Char"/>
    <w:basedOn w:val="TitleChar"/>
    <w:link w:val="DfESOutNumbered"/>
    <w:rsid w:val="007754A5"/>
    <w:rPr>
      <w:rFonts w:ascii="Arial" w:eastAsia="Times New Roman" w:hAnsi="Arial" w:cs="Arial"/>
      <w:color w:val="2F5496" w:themeColor="accent1" w:themeShade="BF"/>
      <w:spacing w:val="-7"/>
      <w:sz w:val="22"/>
      <w:szCs w:val="20"/>
    </w:rPr>
  </w:style>
  <w:style w:type="paragraph" w:customStyle="1" w:styleId="DeptBullets">
    <w:name w:val="DeptBullets"/>
    <w:basedOn w:val="Normal"/>
    <w:link w:val="DeptBulletsChar"/>
    <w:rsid w:val="007754A5"/>
    <w:pPr>
      <w:widowControl w:val="0"/>
      <w:numPr>
        <w:numId w:val="11"/>
      </w:numPr>
      <w:overflowPunct w:val="0"/>
      <w:autoSpaceDE w:val="0"/>
      <w:autoSpaceDN w:val="0"/>
      <w:adjustRightInd w:val="0"/>
      <w:spacing w:after="240" w:line="240" w:lineRule="auto"/>
      <w:textAlignment w:val="baseline"/>
    </w:pPr>
    <w:rPr>
      <w:rFonts w:ascii="Arial" w:eastAsia="Times New Roman" w:hAnsi="Arial" w:cs="Times New Roman"/>
      <w:sz w:val="24"/>
      <w:szCs w:val="20"/>
    </w:rPr>
  </w:style>
  <w:style w:type="character" w:customStyle="1" w:styleId="DeptBulletsChar">
    <w:name w:val="DeptBullets Char"/>
    <w:basedOn w:val="TitleChar"/>
    <w:link w:val="DeptBullets"/>
    <w:rsid w:val="007754A5"/>
    <w:rPr>
      <w:rFonts w:ascii="Arial" w:eastAsia="Times New Roman" w:hAnsi="Arial" w:cs="Times New Roman"/>
      <w:color w:val="2F5496" w:themeColor="accent1" w:themeShade="BF"/>
      <w:spacing w:val="-7"/>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0033478">
      <w:bodyDiv w:val="1"/>
      <w:marLeft w:val="0"/>
      <w:marRight w:val="0"/>
      <w:marTop w:val="0"/>
      <w:marBottom w:val="0"/>
      <w:divBdr>
        <w:top w:val="none" w:sz="0" w:space="0" w:color="auto"/>
        <w:left w:val="none" w:sz="0" w:space="0" w:color="auto"/>
        <w:bottom w:val="none" w:sz="0" w:space="0" w:color="auto"/>
        <w:right w:val="none" w:sz="0" w:space="0" w:color="auto"/>
      </w:divBdr>
      <w:divsChild>
        <w:div w:id="301353561">
          <w:marLeft w:val="979"/>
          <w:marRight w:val="0"/>
          <w:marTop w:val="96"/>
          <w:marBottom w:val="0"/>
          <w:divBdr>
            <w:top w:val="none" w:sz="0" w:space="0" w:color="auto"/>
            <w:left w:val="none" w:sz="0" w:space="0" w:color="auto"/>
            <w:bottom w:val="none" w:sz="0" w:space="0" w:color="auto"/>
            <w:right w:val="none" w:sz="0" w:space="0" w:color="auto"/>
          </w:divBdr>
        </w:div>
        <w:div w:id="883785160">
          <w:marLeft w:val="979"/>
          <w:marRight w:val="0"/>
          <w:marTop w:val="96"/>
          <w:marBottom w:val="0"/>
          <w:divBdr>
            <w:top w:val="none" w:sz="0" w:space="0" w:color="auto"/>
            <w:left w:val="none" w:sz="0" w:space="0" w:color="auto"/>
            <w:bottom w:val="none" w:sz="0" w:space="0" w:color="auto"/>
            <w:right w:val="none" w:sz="0" w:space="0" w:color="auto"/>
          </w:divBdr>
        </w:div>
        <w:div w:id="1159225897">
          <w:marLeft w:val="576"/>
          <w:marRight w:val="0"/>
          <w:marTop w:val="96"/>
          <w:marBottom w:val="120"/>
          <w:divBdr>
            <w:top w:val="none" w:sz="0" w:space="0" w:color="auto"/>
            <w:left w:val="none" w:sz="0" w:space="0" w:color="auto"/>
            <w:bottom w:val="none" w:sz="0" w:space="0" w:color="auto"/>
            <w:right w:val="none" w:sz="0" w:space="0" w:color="auto"/>
          </w:divBdr>
        </w:div>
        <w:div w:id="1921015938">
          <w:marLeft w:val="979"/>
          <w:marRight w:val="0"/>
          <w:marTop w:val="96"/>
          <w:marBottom w:val="0"/>
          <w:divBdr>
            <w:top w:val="none" w:sz="0" w:space="0" w:color="auto"/>
            <w:left w:val="none" w:sz="0" w:space="0" w:color="auto"/>
            <w:bottom w:val="none" w:sz="0" w:space="0" w:color="auto"/>
            <w:right w:val="none" w:sz="0" w:space="0" w:color="auto"/>
          </w:divBdr>
        </w:div>
        <w:div w:id="1990354552">
          <w:marLeft w:val="979"/>
          <w:marRight w:val="0"/>
          <w:marTop w:val="96"/>
          <w:marBottom w:val="0"/>
          <w:divBdr>
            <w:top w:val="none" w:sz="0" w:space="0" w:color="auto"/>
            <w:left w:val="none" w:sz="0" w:space="0" w:color="auto"/>
            <w:bottom w:val="none" w:sz="0" w:space="0" w:color="auto"/>
            <w:right w:val="none" w:sz="0" w:space="0" w:color="auto"/>
          </w:divBdr>
        </w:div>
      </w:divsChild>
    </w:div>
    <w:div w:id="1096487438">
      <w:bodyDiv w:val="1"/>
      <w:marLeft w:val="0"/>
      <w:marRight w:val="0"/>
      <w:marTop w:val="0"/>
      <w:marBottom w:val="0"/>
      <w:divBdr>
        <w:top w:val="none" w:sz="0" w:space="0" w:color="auto"/>
        <w:left w:val="none" w:sz="0" w:space="0" w:color="auto"/>
        <w:bottom w:val="none" w:sz="0" w:space="0" w:color="auto"/>
        <w:right w:val="none" w:sz="0" w:space="0" w:color="auto"/>
      </w:divBdr>
    </w:div>
    <w:div w:id="1364399573">
      <w:bodyDiv w:val="1"/>
      <w:marLeft w:val="0"/>
      <w:marRight w:val="0"/>
      <w:marTop w:val="0"/>
      <w:marBottom w:val="0"/>
      <w:divBdr>
        <w:top w:val="none" w:sz="0" w:space="0" w:color="auto"/>
        <w:left w:val="none" w:sz="0" w:space="0" w:color="auto"/>
        <w:bottom w:val="none" w:sz="0" w:space="0" w:color="auto"/>
        <w:right w:val="none" w:sz="0" w:space="0" w:color="auto"/>
      </w:divBdr>
      <w:divsChild>
        <w:div w:id="1139688742">
          <w:marLeft w:val="576"/>
          <w:marRight w:val="0"/>
          <w:marTop w:val="96"/>
          <w:marBottom w:val="120"/>
          <w:divBdr>
            <w:top w:val="none" w:sz="0" w:space="0" w:color="auto"/>
            <w:left w:val="none" w:sz="0" w:space="0" w:color="auto"/>
            <w:bottom w:val="none" w:sz="0" w:space="0" w:color="auto"/>
            <w:right w:val="none" w:sz="0" w:space="0" w:color="auto"/>
          </w:divBdr>
        </w:div>
      </w:divsChild>
    </w:div>
    <w:div w:id="2010979013">
      <w:bodyDiv w:val="1"/>
      <w:marLeft w:val="0"/>
      <w:marRight w:val="0"/>
      <w:marTop w:val="0"/>
      <w:marBottom w:val="0"/>
      <w:divBdr>
        <w:top w:val="none" w:sz="0" w:space="0" w:color="auto"/>
        <w:left w:val="none" w:sz="0" w:space="0" w:color="auto"/>
        <w:bottom w:val="none" w:sz="0" w:space="0" w:color="auto"/>
        <w:right w:val="none" w:sz="0" w:space="0" w:color="auto"/>
      </w:divBdr>
      <w:divsChild>
        <w:div w:id="342125066">
          <w:marLeft w:val="274"/>
          <w:marRight w:val="0"/>
          <w:marTop w:val="0"/>
          <w:marBottom w:val="0"/>
          <w:divBdr>
            <w:top w:val="none" w:sz="0" w:space="0" w:color="auto"/>
            <w:left w:val="none" w:sz="0" w:space="0" w:color="auto"/>
            <w:bottom w:val="none" w:sz="0" w:space="0" w:color="auto"/>
            <w:right w:val="none" w:sz="0" w:space="0" w:color="auto"/>
          </w:divBdr>
        </w:div>
        <w:div w:id="796146294">
          <w:marLeft w:val="274"/>
          <w:marRight w:val="0"/>
          <w:marTop w:val="0"/>
          <w:marBottom w:val="0"/>
          <w:divBdr>
            <w:top w:val="none" w:sz="0" w:space="0" w:color="auto"/>
            <w:left w:val="none" w:sz="0" w:space="0" w:color="auto"/>
            <w:bottom w:val="none" w:sz="0" w:space="0" w:color="auto"/>
            <w:right w:val="none" w:sz="0" w:space="0" w:color="auto"/>
          </w:divBdr>
        </w:div>
        <w:div w:id="1298798483">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sendpathfinder.co.uk/expenses"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sendpathfinder.co.uk/single-route-of-redres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3bee4c5c-8f43-4f7f-9637-07f983ecca3d" ContentTypeId="0x0101007BD61AFCC8A643B8924AB3F7EE18260102" PreviousValue="false"/>
</file>

<file path=customXml/item2.xml><?xml version="1.0" encoding="utf-8"?>
<p:properties xmlns:p="http://schemas.microsoft.com/office/2006/metadata/properties" xmlns:xsi="http://www.w3.org/2001/XMLSchema-instance" xmlns:pc="http://schemas.microsoft.com/office/infopath/2007/PartnerControls">
  <documentManagement>
    <TaxKeywordTaxHTField xmlns="980b2c76-4eb4-4926-991a-bb246786b55e">
      <Terms xmlns="http://schemas.microsoft.com/office/infopath/2007/PartnerControls"/>
    </TaxKeywordTaxHTField>
    <LikesCount xmlns="http://schemas.microsoft.com/sharepoint/v3" xsi:nil="true"/>
    <MMSourceID xmlns="980b2c76-4eb4-4926-991a-bb246786b55e" xsi:nil="true"/>
    <Ratings xmlns="http://schemas.microsoft.com/sharepoint/v3" xsi:nil="true"/>
    <LastDateSharedToProjectMemory xmlns="980b2c76-4eb4-4926-991a-bb246786b55e" xsi:nil="true"/>
    <LikedBy xmlns="http://schemas.microsoft.com/sharepoint/v3">
      <UserInfo>
        <DisplayName/>
        <AccountId xsi:nil="true"/>
        <AccountType/>
      </UserInfo>
    </LikedBy>
    <LastVersionSharedToProjectMemory xmlns="980b2c76-4eb4-4926-991a-bb246786b55e" xsi:nil="true"/>
    <TaxCatchAll xmlns="980b2c76-4eb4-4926-991a-bb246786b55e"/>
    <RatedBy xmlns="http://schemas.microsoft.com/sharepoint/v3">
      <UserInfo>
        <DisplayName/>
        <AccountId xsi:nil="true"/>
        <AccountType/>
      </UserInfo>
    </RatedBy>
    <_dlc_DocId xmlns="980b2c76-4eb4-4926-991a-bb246786b55e">100100735-588954226-244330</_dlc_DocId>
    <_dlc_DocIdUrl xmlns="980b2c76-4eb4-4926-991a-bb246786b55e">
      <Url>https://mottmac.sharepoint.com/teams/pj-f0479/_layouts/15/DocIdRedir.aspx?ID=100100735-588954226-244330</Url>
      <Description>100100735-588954226-244330</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Project Document" ma:contentTypeID="0x0101007BD61AFCC8A643B8924AB3F7EE1826010200864971D297CB3C44861FD5CE88985A00" ma:contentTypeVersion="7" ma:contentTypeDescription="Base content type for project documents" ma:contentTypeScope="" ma:versionID="1a8d7d5cf34bc6bac88af2e5eb6f307d">
  <xsd:schema xmlns:xsd="http://www.w3.org/2001/XMLSchema" xmlns:xs="http://www.w3.org/2001/XMLSchema" xmlns:p="http://schemas.microsoft.com/office/2006/metadata/properties" xmlns:ns1="http://schemas.microsoft.com/sharepoint/v3" xmlns:ns2="980b2c76-4eb4-4926-991a-bb246786b55e" targetNamespace="http://schemas.microsoft.com/office/2006/metadata/properties" ma:root="true" ma:fieldsID="01ed843f61c1cad455f38698e686e92f" ns1:_="" ns2:_="">
    <xsd:import namespace="http://schemas.microsoft.com/sharepoint/v3"/>
    <xsd:import namespace="980b2c76-4eb4-4926-991a-bb246786b55e"/>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TaxKeywordTaxHTField" minOccurs="0"/>
                <xsd:element ref="ns1:AverageRating" minOccurs="0"/>
                <xsd:element ref="ns1:RatingCount" minOccurs="0"/>
                <xsd:element ref="ns1:RatedBy" minOccurs="0"/>
                <xsd:element ref="ns1:Ratings" minOccurs="0"/>
                <xsd:element ref="ns1:LikesCount" minOccurs="0"/>
                <xsd:element ref="ns1:LikedBy" minOccurs="0"/>
                <xsd:element ref="ns2:LastDateSharedToProjectMemory" minOccurs="0"/>
                <xsd:element ref="ns2:LastVersionSharedToProjectMemory" minOccurs="0"/>
                <xsd:element ref="ns2:MMSource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5" nillable="true" ma:displayName="Rating (0-5)" ma:decimals="2" ma:description="Average value of all the ratings that have been submitted" ma:internalName="AverageRating" ma:readOnly="true">
      <xsd:simpleType>
        <xsd:restriction base="dms:Number"/>
      </xsd:simpleType>
    </xsd:element>
    <xsd:element name="RatingCount" ma:index="16" nillable="true" ma:displayName="Number of Ratings" ma:decimals="0" ma:description="Number of ratings submitted" ma:internalName="RatingCount" ma:readOnly="true">
      <xsd:simpleType>
        <xsd:restriction base="dms:Number"/>
      </xsd:simpleType>
    </xsd:element>
    <xsd:element name="RatedBy" ma:index="17"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8" nillable="true" ma:displayName="User ratings" ma:description="User ratings for the item" ma:hidden="true" ma:internalName="Ratings">
      <xsd:simpleType>
        <xsd:restriction base="dms:Note"/>
      </xsd:simpleType>
    </xsd:element>
    <xsd:element name="LikesCount" ma:index="19" nillable="true" ma:displayName="Number of Likes" ma:internalName="LikesCount">
      <xsd:simpleType>
        <xsd:restriction base="dms:Unknown"/>
      </xsd:simpleType>
    </xsd:element>
    <xsd:element name="LikedBy" ma:index="20"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80b2c76-4eb4-4926-991a-bb246786b55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1" nillable="true" ma:displayName="Taxonomy Catch All Column" ma:hidden="true" ma:list="{99861755-5677-4bef-858e-f891c79be0c9}" ma:internalName="TaxCatchAll" ma:showField="CatchAllData" ma:web="b20b7e23-ae28-4af0-83c1-a4f5f6cc239b">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99861755-5677-4bef-858e-f891c79be0c9}" ma:internalName="TaxCatchAllLabel" ma:readOnly="true" ma:showField="CatchAllDataLabel" ma:web="b20b7e23-ae28-4af0-83c1-a4f5f6cc239b">
      <xsd:complexType>
        <xsd:complexContent>
          <xsd:extension base="dms:MultiChoiceLookup">
            <xsd:sequence>
              <xsd:element name="Value" type="dms:Lookup" maxOccurs="unbounded" minOccurs="0" nillable="true"/>
            </xsd:sequence>
          </xsd:extension>
        </xsd:complexContent>
      </xsd:complexType>
    </xsd:element>
    <xsd:element name="TaxKeywordTaxHTField" ma:index="13" nillable="true" ma:taxonomy="true" ma:internalName="TaxKeywordTaxHTField" ma:taxonomyFieldName="TaxKeyword" ma:displayName="Enterprise Keywords" ma:fieldId="{23f27201-bee3-471e-b2e7-b64fd8b7ca38}" ma:taxonomyMulti="true" ma:sspId="3bee4c5c-8f43-4f7f-9637-07f983ecca3d" ma:termSetId="00000000-0000-0000-0000-000000000000" ma:anchorId="00000000-0000-0000-0000-000000000000" ma:open="true" ma:isKeyword="true">
      <xsd:complexType>
        <xsd:sequence>
          <xsd:element ref="pc:Terms" minOccurs="0" maxOccurs="1"/>
        </xsd:sequence>
      </xsd:complexType>
    </xsd:element>
    <xsd:element name="LastDateSharedToProjectMemory" ma:index="21" nillable="true" ma:displayName="Last Shared To Project Memory" ma:format="DateTime" ma:internalName="LastDateSharedToProjectMemory" ma:readOnly="false">
      <xsd:simpleType>
        <xsd:restriction base="dms:DateTime"/>
      </xsd:simpleType>
    </xsd:element>
    <xsd:element name="LastVersionSharedToProjectMemory" ma:index="22" nillable="true" ma:displayName="Last Version Shared To Project Memory" ma:internalName="LastVersionSharedToProjectMemory" ma:readOnly="false">
      <xsd:simpleType>
        <xsd:restriction base="dms:Text">
          <xsd:maxLength value="255"/>
        </xsd:restriction>
      </xsd:simpleType>
    </xsd:element>
    <xsd:element name="MMSourceID" ma:index="23" nillable="true" ma:displayName="MM Source ID" ma:description="Used for source searches" ma:hidden="true" ma:internalName="MMSourceID"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756A58-B130-4AF9-9B97-BA0E93295239}">
  <ds:schemaRefs>
    <ds:schemaRef ds:uri="Microsoft.SharePoint.Taxonomy.ContentTypeSync"/>
  </ds:schemaRefs>
</ds:datastoreItem>
</file>

<file path=customXml/itemProps2.xml><?xml version="1.0" encoding="utf-8"?>
<ds:datastoreItem xmlns:ds="http://schemas.openxmlformats.org/officeDocument/2006/customXml" ds:itemID="{76BBF632-D6C6-4489-A372-BADB470E7713}">
  <ds:schemaRefs>
    <ds:schemaRef ds:uri="http://purl.org/dc/elements/1.1/"/>
    <ds:schemaRef ds:uri="d297891c-b1a0-4124-8992-1c63fedc90d2"/>
    <ds:schemaRef ds:uri="http://schemas.microsoft.com/office/infopath/2007/PartnerControls"/>
    <ds:schemaRef ds:uri="1feed707-01fd-4201-b25b-74661d0a75e7"/>
    <ds:schemaRef ds:uri="http://www.w3.org/XML/1998/namespace"/>
    <ds:schemaRef ds:uri="http://schemas.openxmlformats.org/package/2006/metadata/core-properties"/>
    <ds:schemaRef ds:uri="http://schemas.microsoft.com/office/2006/documentManagement/types"/>
    <ds:schemaRef ds:uri="http://schemas.microsoft.com/office/2006/metadata/properties"/>
    <ds:schemaRef ds:uri="http://purl.org/dc/dcmitype/"/>
    <ds:schemaRef ds:uri="http://purl.org/dc/terms/"/>
    <ds:schemaRef ds:uri="980b2c76-4eb4-4926-991a-bb246786b55e"/>
    <ds:schemaRef ds:uri="http://schemas.microsoft.com/sharepoint/v3"/>
  </ds:schemaRefs>
</ds:datastoreItem>
</file>

<file path=customXml/itemProps3.xml><?xml version="1.0" encoding="utf-8"?>
<ds:datastoreItem xmlns:ds="http://schemas.openxmlformats.org/officeDocument/2006/customXml" ds:itemID="{3F8277F2-311A-4B4C-BA81-0FAC9FBEE618}">
  <ds:schemaRefs>
    <ds:schemaRef ds:uri="http://schemas.microsoft.com/sharepoint/v3/contenttype/forms"/>
  </ds:schemaRefs>
</ds:datastoreItem>
</file>

<file path=customXml/itemProps4.xml><?xml version="1.0" encoding="utf-8"?>
<ds:datastoreItem xmlns:ds="http://schemas.openxmlformats.org/officeDocument/2006/customXml" ds:itemID="{90B82FB3-8A75-495B-AD84-DD9EAAB50B86}">
  <ds:schemaRefs>
    <ds:schemaRef ds:uri="http://schemas.microsoft.com/sharepoint/events"/>
  </ds:schemaRefs>
</ds:datastoreItem>
</file>

<file path=customXml/itemProps5.xml><?xml version="1.0" encoding="utf-8"?>
<ds:datastoreItem xmlns:ds="http://schemas.openxmlformats.org/officeDocument/2006/customXml" ds:itemID="{3B1B56E4-7DBF-4887-AB1A-0EAC6C392C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80b2c76-4eb4-4926-991a-bb246786b5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604</Words>
  <Characters>3449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Boyd, Scott T</dc:creator>
  <cp:keywords/>
  <dc:description/>
  <cp:lastModifiedBy>Jack Dewhurst</cp:lastModifiedBy>
  <cp:revision>2</cp:revision>
  <dcterms:created xsi:type="dcterms:W3CDTF">2021-09-29T08:33:00Z</dcterms:created>
  <dcterms:modified xsi:type="dcterms:W3CDTF">2021-09-29T08:33:00Z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0x0101007BD61AFCC8A643B8924AB3F7EE1826010200864971D297CB3C44861FD5CE88985A00</vt:lpwstr>
  </property>
  <property fmtid="{D5CDD505-2E9C-101B-9397-08002B2CF9AE}" pid="3" name="_dlc_DocIdItemGuid">
    <vt:lpwstr>b556b298-659b-4217-8aa9-ff73b3889415</vt:lpwstr>
  </property>
  <property fmtid="{D5CDD505-2E9C-101B-9397-08002B2CF9AE}" pid="4" name="TaxKeyword">
    <vt:lpwstr/>
  </property>
  <property fmtid="{D5CDD505-2E9C-101B-9397-08002B2CF9AE}" pid="5" name="SavedOnce">
    <vt:lpwstr>true</vt:lpwstr>
  </property>
</Properties>
</file>